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E5" w:rsidRDefault="000B6E91" w:rsidP="00E80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75pt;margin-top:-11.25pt;width:45.55pt;height:63pt;z-index:251656704">
            <v:imagedata r:id="rId8" o:title=""/>
          </v:shape>
          <o:OLEObject Type="Embed" ProgID="Photoshop.Image.6" ShapeID="_x0000_s1027" DrawAspect="Content" ObjectID="_1690093937" r:id="rId9">
            <o:FieldCodes>\s</o:FieldCodes>
          </o:OLEObject>
        </w:object>
      </w:r>
    </w:p>
    <w:p w:rsidR="00AB7ED6" w:rsidRDefault="00AB7ED6" w:rsidP="00E805E6">
      <w:pPr>
        <w:jc w:val="center"/>
        <w:rPr>
          <w:sz w:val="28"/>
          <w:szCs w:val="28"/>
        </w:rPr>
      </w:pPr>
    </w:p>
    <w:p w:rsidR="00AB7ED6" w:rsidRDefault="00AB7ED6" w:rsidP="00E805E6">
      <w:pPr>
        <w:jc w:val="center"/>
        <w:rPr>
          <w:sz w:val="28"/>
          <w:szCs w:val="28"/>
        </w:rPr>
      </w:pPr>
    </w:p>
    <w:p w:rsidR="00E805E6" w:rsidRPr="00100458" w:rsidRDefault="00E805E6" w:rsidP="00E805E6">
      <w:pPr>
        <w:jc w:val="center"/>
        <w:rPr>
          <w:sz w:val="28"/>
          <w:szCs w:val="28"/>
        </w:rPr>
      </w:pPr>
      <w:r w:rsidRPr="00100458">
        <w:rPr>
          <w:sz w:val="28"/>
          <w:szCs w:val="28"/>
        </w:rPr>
        <w:t>ОТДЕЛ ОБРАЗОВАНИЯ</w:t>
      </w:r>
    </w:p>
    <w:p w:rsidR="00E805E6" w:rsidRPr="00100458" w:rsidRDefault="00E805E6" w:rsidP="00E805E6">
      <w:pPr>
        <w:jc w:val="center"/>
        <w:rPr>
          <w:sz w:val="28"/>
          <w:szCs w:val="28"/>
        </w:rPr>
      </w:pPr>
      <w:r w:rsidRPr="00100458">
        <w:rPr>
          <w:sz w:val="28"/>
          <w:szCs w:val="28"/>
        </w:rPr>
        <w:t xml:space="preserve">АДМИНИСТРАЦИИ ДОБРИНСКОГО </w:t>
      </w:r>
    </w:p>
    <w:p w:rsidR="00E805E6" w:rsidRPr="00100458" w:rsidRDefault="00E805E6" w:rsidP="00E805E6">
      <w:pPr>
        <w:jc w:val="center"/>
        <w:rPr>
          <w:sz w:val="28"/>
          <w:szCs w:val="28"/>
        </w:rPr>
      </w:pPr>
      <w:r w:rsidRPr="00100458">
        <w:rPr>
          <w:sz w:val="28"/>
          <w:szCs w:val="28"/>
        </w:rPr>
        <w:t>МУНИЦИПАЛЬНОГО  РАЙОНА</w:t>
      </w:r>
    </w:p>
    <w:p w:rsidR="00E805E6" w:rsidRPr="00100458" w:rsidRDefault="00E805E6" w:rsidP="00E805E6">
      <w:pPr>
        <w:jc w:val="center"/>
        <w:rPr>
          <w:sz w:val="28"/>
          <w:szCs w:val="28"/>
        </w:rPr>
      </w:pPr>
      <w:r w:rsidRPr="00100458">
        <w:rPr>
          <w:sz w:val="28"/>
          <w:szCs w:val="28"/>
        </w:rPr>
        <w:t>ЛИПЕЦКОЙ ОБЛАСТИ</w:t>
      </w:r>
    </w:p>
    <w:p w:rsidR="00E805E6" w:rsidRPr="00100458" w:rsidRDefault="00E805E6" w:rsidP="00E805E6">
      <w:pPr>
        <w:jc w:val="center"/>
        <w:rPr>
          <w:sz w:val="28"/>
          <w:szCs w:val="28"/>
        </w:rPr>
      </w:pPr>
      <w:r w:rsidRPr="00100458">
        <w:rPr>
          <w:sz w:val="28"/>
          <w:szCs w:val="28"/>
        </w:rPr>
        <w:t>П Р И К А З</w:t>
      </w:r>
    </w:p>
    <w:p w:rsidR="00E805E6" w:rsidRPr="00100458" w:rsidRDefault="00100458" w:rsidP="00E805E6">
      <w:pPr>
        <w:rPr>
          <w:sz w:val="28"/>
          <w:szCs w:val="28"/>
        </w:rPr>
      </w:pPr>
      <w:r>
        <w:rPr>
          <w:sz w:val="28"/>
          <w:szCs w:val="28"/>
          <w:u w:val="single"/>
        </w:rPr>
        <w:t>25.03.2021 г.</w:t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5E6" w:rsidRPr="00100458">
        <w:rPr>
          <w:sz w:val="28"/>
          <w:szCs w:val="28"/>
        </w:rPr>
        <w:t>№</w:t>
      </w:r>
      <w:r w:rsidR="0014423F" w:rsidRPr="0010045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109</w:t>
      </w:r>
    </w:p>
    <w:p w:rsidR="00E805E6" w:rsidRPr="00C7340A" w:rsidRDefault="00E805E6" w:rsidP="00E805E6">
      <w:pPr>
        <w:jc w:val="center"/>
        <w:rPr>
          <w:sz w:val="27"/>
          <w:szCs w:val="27"/>
        </w:rPr>
      </w:pPr>
      <w:r w:rsidRPr="00C7340A">
        <w:rPr>
          <w:sz w:val="27"/>
          <w:szCs w:val="27"/>
        </w:rPr>
        <w:t>п. Добринка</w:t>
      </w:r>
    </w:p>
    <w:p w:rsidR="00100458" w:rsidRPr="00C7340A" w:rsidRDefault="009749B0" w:rsidP="00100458">
      <w:pPr>
        <w:rPr>
          <w:sz w:val="27"/>
          <w:szCs w:val="27"/>
        </w:rPr>
      </w:pPr>
      <w:r w:rsidRPr="00C7340A">
        <w:rPr>
          <w:sz w:val="27"/>
          <w:szCs w:val="27"/>
        </w:rPr>
        <w:t>О</w:t>
      </w:r>
      <w:r w:rsidR="00511527" w:rsidRPr="00C7340A">
        <w:rPr>
          <w:sz w:val="27"/>
          <w:szCs w:val="27"/>
        </w:rPr>
        <w:t>б утверждении муниципальной программы</w:t>
      </w:r>
      <w:r w:rsidR="001225A5" w:rsidRPr="00C7340A">
        <w:rPr>
          <w:sz w:val="27"/>
          <w:szCs w:val="27"/>
        </w:rPr>
        <w:t xml:space="preserve"> </w:t>
      </w:r>
    </w:p>
    <w:p w:rsidR="00AB7ED6" w:rsidRPr="00C7340A" w:rsidRDefault="00AB7ED6" w:rsidP="001D39C2">
      <w:pPr>
        <w:rPr>
          <w:sz w:val="27"/>
          <w:szCs w:val="27"/>
        </w:rPr>
      </w:pPr>
      <w:r w:rsidRPr="00C7340A">
        <w:rPr>
          <w:bCs/>
          <w:sz w:val="27"/>
          <w:szCs w:val="27"/>
        </w:rPr>
        <w:t>«</w:t>
      </w:r>
      <w:r w:rsidRPr="00C7340A">
        <w:rPr>
          <w:sz w:val="27"/>
          <w:szCs w:val="27"/>
        </w:rPr>
        <w:t xml:space="preserve">Повышение качества образования в школах </w:t>
      </w:r>
    </w:p>
    <w:p w:rsidR="00AB7ED6" w:rsidRPr="00C7340A" w:rsidRDefault="00AB7ED6" w:rsidP="001D39C2">
      <w:pPr>
        <w:rPr>
          <w:sz w:val="27"/>
          <w:szCs w:val="27"/>
        </w:rPr>
      </w:pPr>
      <w:r w:rsidRPr="00C7340A">
        <w:rPr>
          <w:sz w:val="27"/>
          <w:szCs w:val="27"/>
        </w:rPr>
        <w:t xml:space="preserve">с низкими результатами обучения и в школах, </w:t>
      </w:r>
    </w:p>
    <w:p w:rsidR="00AB7ED6" w:rsidRPr="00C7340A" w:rsidRDefault="00AB7ED6" w:rsidP="001D39C2">
      <w:pPr>
        <w:rPr>
          <w:sz w:val="27"/>
          <w:szCs w:val="27"/>
        </w:rPr>
      </w:pPr>
      <w:r w:rsidRPr="00C7340A">
        <w:rPr>
          <w:sz w:val="27"/>
          <w:szCs w:val="27"/>
        </w:rPr>
        <w:t xml:space="preserve">функционирующих в неблагоприятных социальных </w:t>
      </w:r>
    </w:p>
    <w:p w:rsidR="00AB7ED6" w:rsidRPr="00C7340A" w:rsidRDefault="00AB7ED6" w:rsidP="001D39C2">
      <w:pPr>
        <w:rPr>
          <w:sz w:val="27"/>
          <w:szCs w:val="27"/>
        </w:rPr>
      </w:pPr>
      <w:r w:rsidRPr="00C7340A">
        <w:rPr>
          <w:sz w:val="27"/>
          <w:szCs w:val="27"/>
        </w:rPr>
        <w:t>условиях в Добринском муниципальном районе</w:t>
      </w:r>
      <w:r w:rsidRPr="00C7340A">
        <w:rPr>
          <w:bCs/>
          <w:sz w:val="27"/>
          <w:szCs w:val="27"/>
        </w:rPr>
        <w:t>»</w:t>
      </w:r>
      <w:r w:rsidR="003946F5" w:rsidRPr="00C7340A">
        <w:rPr>
          <w:sz w:val="27"/>
          <w:szCs w:val="27"/>
        </w:rPr>
        <w:t xml:space="preserve"> </w:t>
      </w:r>
    </w:p>
    <w:p w:rsidR="0097736C" w:rsidRPr="00C7340A" w:rsidRDefault="003946F5" w:rsidP="001D39C2">
      <w:pPr>
        <w:rPr>
          <w:sz w:val="27"/>
          <w:szCs w:val="27"/>
        </w:rPr>
      </w:pPr>
      <w:r w:rsidRPr="00C7340A">
        <w:rPr>
          <w:sz w:val="27"/>
          <w:szCs w:val="27"/>
        </w:rPr>
        <w:t>на 202</w:t>
      </w:r>
      <w:r w:rsidR="00100458" w:rsidRPr="00C7340A">
        <w:rPr>
          <w:sz w:val="27"/>
          <w:szCs w:val="27"/>
        </w:rPr>
        <w:t>1</w:t>
      </w:r>
      <w:r w:rsidRPr="00C7340A">
        <w:rPr>
          <w:sz w:val="27"/>
          <w:szCs w:val="27"/>
        </w:rPr>
        <w:t xml:space="preserve"> год</w:t>
      </w:r>
    </w:p>
    <w:p w:rsidR="00FE67A1" w:rsidRPr="00C7340A" w:rsidRDefault="00FE7DE6" w:rsidP="00100458">
      <w:pPr>
        <w:ind w:left="142" w:firstLine="566"/>
        <w:jc w:val="both"/>
        <w:rPr>
          <w:sz w:val="27"/>
          <w:szCs w:val="27"/>
        </w:rPr>
      </w:pPr>
      <w:r w:rsidRPr="00C7340A">
        <w:rPr>
          <w:sz w:val="27"/>
          <w:szCs w:val="27"/>
        </w:rPr>
        <w:t xml:space="preserve">В соответствии с приказами Управления образования и науки Липецкой области от </w:t>
      </w:r>
      <w:r w:rsidR="00100458" w:rsidRPr="00C7340A">
        <w:rPr>
          <w:sz w:val="27"/>
          <w:szCs w:val="27"/>
        </w:rPr>
        <w:t>01</w:t>
      </w:r>
      <w:r w:rsidR="00424B7A" w:rsidRPr="00C7340A">
        <w:rPr>
          <w:sz w:val="27"/>
          <w:szCs w:val="27"/>
        </w:rPr>
        <w:t>.0</w:t>
      </w:r>
      <w:r w:rsidR="00100458" w:rsidRPr="00C7340A">
        <w:rPr>
          <w:sz w:val="27"/>
          <w:szCs w:val="27"/>
        </w:rPr>
        <w:t>3.2021</w:t>
      </w:r>
      <w:r w:rsidR="00424B7A" w:rsidRPr="00C7340A">
        <w:rPr>
          <w:sz w:val="27"/>
          <w:szCs w:val="27"/>
        </w:rPr>
        <w:t xml:space="preserve"> </w:t>
      </w:r>
      <w:r w:rsidRPr="00C7340A">
        <w:rPr>
          <w:sz w:val="27"/>
          <w:szCs w:val="27"/>
        </w:rPr>
        <w:t>№</w:t>
      </w:r>
      <w:r w:rsidR="00100458" w:rsidRPr="00C7340A">
        <w:rPr>
          <w:sz w:val="27"/>
          <w:szCs w:val="27"/>
        </w:rPr>
        <w:t>256</w:t>
      </w:r>
      <w:r w:rsidR="007C2E16" w:rsidRPr="00C7340A">
        <w:rPr>
          <w:sz w:val="27"/>
          <w:szCs w:val="27"/>
        </w:rPr>
        <w:t xml:space="preserve"> «</w:t>
      </w:r>
      <w:r w:rsidRPr="00C7340A">
        <w:rPr>
          <w:sz w:val="27"/>
          <w:szCs w:val="27"/>
        </w:rPr>
        <w:t>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в 202</w:t>
      </w:r>
      <w:r w:rsidR="00100458" w:rsidRPr="00C7340A">
        <w:rPr>
          <w:sz w:val="27"/>
          <w:szCs w:val="27"/>
        </w:rPr>
        <w:t>1</w:t>
      </w:r>
      <w:r w:rsidRPr="00C7340A">
        <w:rPr>
          <w:sz w:val="27"/>
          <w:szCs w:val="27"/>
        </w:rPr>
        <w:t xml:space="preserve"> году, </w:t>
      </w:r>
      <w:r w:rsidR="00370C0D" w:rsidRPr="00C7340A">
        <w:rPr>
          <w:sz w:val="27"/>
          <w:szCs w:val="27"/>
        </w:rPr>
        <w:t xml:space="preserve">приказом отдела образования от </w:t>
      </w:r>
      <w:r w:rsidR="00100458" w:rsidRPr="00C7340A">
        <w:rPr>
          <w:sz w:val="27"/>
          <w:szCs w:val="27"/>
        </w:rPr>
        <w:t>25</w:t>
      </w:r>
      <w:r w:rsidR="007C2E16" w:rsidRPr="00C7340A">
        <w:rPr>
          <w:sz w:val="27"/>
          <w:szCs w:val="27"/>
        </w:rPr>
        <w:t>.03.202</w:t>
      </w:r>
      <w:r w:rsidR="00100458" w:rsidRPr="00C7340A">
        <w:rPr>
          <w:sz w:val="27"/>
          <w:szCs w:val="27"/>
        </w:rPr>
        <w:t>1</w:t>
      </w:r>
      <w:r w:rsidR="00370C0D" w:rsidRPr="00C7340A">
        <w:rPr>
          <w:sz w:val="27"/>
          <w:szCs w:val="27"/>
        </w:rPr>
        <w:t xml:space="preserve"> №</w:t>
      </w:r>
      <w:r w:rsidR="007C2E16" w:rsidRPr="00C7340A">
        <w:rPr>
          <w:sz w:val="27"/>
          <w:szCs w:val="27"/>
        </w:rPr>
        <w:t xml:space="preserve"> </w:t>
      </w:r>
      <w:r w:rsidR="00100458" w:rsidRPr="00C7340A">
        <w:rPr>
          <w:sz w:val="27"/>
          <w:szCs w:val="27"/>
        </w:rPr>
        <w:t>108</w:t>
      </w:r>
      <w:r w:rsidR="00370C0D" w:rsidRPr="00C7340A">
        <w:rPr>
          <w:sz w:val="27"/>
          <w:szCs w:val="27"/>
        </w:rPr>
        <w:t xml:space="preserve"> «Об утверждении состава муниципальной рабочей группы  </w:t>
      </w:r>
      <w:r w:rsidR="003946F5" w:rsidRPr="00C7340A">
        <w:rPr>
          <w:sz w:val="27"/>
          <w:szCs w:val="27"/>
        </w:rPr>
        <w:t>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</w:t>
      </w:r>
      <w:r w:rsidR="00100458" w:rsidRPr="00C7340A">
        <w:rPr>
          <w:sz w:val="27"/>
          <w:szCs w:val="27"/>
        </w:rPr>
        <w:t xml:space="preserve"> в Добринском муниципальном районе в 2021 году</w:t>
      </w:r>
      <w:r w:rsidR="00BC4097" w:rsidRPr="00C7340A">
        <w:rPr>
          <w:sz w:val="27"/>
          <w:szCs w:val="27"/>
        </w:rPr>
        <w:t xml:space="preserve">, от </w:t>
      </w:r>
      <w:r w:rsidR="00100458" w:rsidRPr="00C7340A">
        <w:rPr>
          <w:sz w:val="27"/>
          <w:szCs w:val="27"/>
        </w:rPr>
        <w:t>25</w:t>
      </w:r>
      <w:r w:rsidR="00BC4097" w:rsidRPr="00C7340A">
        <w:rPr>
          <w:sz w:val="27"/>
          <w:szCs w:val="27"/>
        </w:rPr>
        <w:t>.03.</w:t>
      </w:r>
      <w:r w:rsidR="00100458" w:rsidRPr="00C7340A">
        <w:rPr>
          <w:sz w:val="27"/>
          <w:szCs w:val="27"/>
        </w:rPr>
        <w:t>2021</w:t>
      </w:r>
      <w:r w:rsidR="00BC4097" w:rsidRPr="00C7340A">
        <w:rPr>
          <w:sz w:val="27"/>
          <w:szCs w:val="27"/>
        </w:rPr>
        <w:t xml:space="preserve"> № </w:t>
      </w:r>
      <w:r w:rsidR="00100458" w:rsidRPr="00C7340A">
        <w:rPr>
          <w:sz w:val="27"/>
          <w:szCs w:val="27"/>
        </w:rPr>
        <w:t>108</w:t>
      </w:r>
      <w:r w:rsidR="00BC4097" w:rsidRPr="00C7340A">
        <w:rPr>
          <w:sz w:val="27"/>
          <w:szCs w:val="27"/>
        </w:rPr>
        <w:t xml:space="preserve"> «О реализации</w:t>
      </w:r>
      <w:r w:rsidR="003946F5" w:rsidRPr="00C7340A">
        <w:rPr>
          <w:sz w:val="27"/>
          <w:szCs w:val="27"/>
        </w:rPr>
        <w:t xml:space="preserve">  </w:t>
      </w:r>
      <w:r w:rsidR="00BC4097" w:rsidRPr="00C7340A">
        <w:rPr>
          <w:sz w:val="27"/>
          <w:szCs w:val="27"/>
        </w:rPr>
        <w:t xml:space="preserve">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</w:t>
      </w:r>
      <w:r w:rsidR="00100458" w:rsidRPr="00C7340A">
        <w:rPr>
          <w:sz w:val="27"/>
          <w:szCs w:val="27"/>
        </w:rPr>
        <w:t>в Добринском муниципальном районе в 2021 году</w:t>
      </w:r>
    </w:p>
    <w:p w:rsidR="00FE67A1" w:rsidRPr="00C7340A" w:rsidRDefault="00FE67A1" w:rsidP="00FE67A1">
      <w:pPr>
        <w:rPr>
          <w:sz w:val="27"/>
          <w:szCs w:val="27"/>
        </w:rPr>
      </w:pPr>
      <w:r w:rsidRPr="00C7340A">
        <w:rPr>
          <w:sz w:val="27"/>
          <w:szCs w:val="27"/>
        </w:rPr>
        <w:t>ПРИКАЗЫВАЮ:</w:t>
      </w:r>
    </w:p>
    <w:p w:rsidR="0095322A" w:rsidRPr="00C7340A" w:rsidRDefault="009D7BD6" w:rsidP="00C7340A">
      <w:pPr>
        <w:numPr>
          <w:ilvl w:val="0"/>
          <w:numId w:val="6"/>
        </w:numPr>
        <w:rPr>
          <w:sz w:val="27"/>
          <w:szCs w:val="27"/>
        </w:rPr>
      </w:pPr>
      <w:r w:rsidRPr="00C7340A">
        <w:rPr>
          <w:sz w:val="27"/>
          <w:szCs w:val="27"/>
        </w:rPr>
        <w:t xml:space="preserve">Утвердить муниципальную программу </w:t>
      </w:r>
      <w:r w:rsidR="00AB7ED6" w:rsidRPr="00C7340A">
        <w:rPr>
          <w:bCs/>
          <w:sz w:val="27"/>
          <w:szCs w:val="27"/>
        </w:rPr>
        <w:t>«</w:t>
      </w:r>
      <w:r w:rsidR="00AB7ED6" w:rsidRPr="00C7340A">
        <w:rPr>
          <w:sz w:val="27"/>
          <w:szCs w:val="27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 в Добринском муниципальном районе</w:t>
      </w:r>
      <w:r w:rsidR="00AB7ED6" w:rsidRPr="00C7340A">
        <w:rPr>
          <w:bCs/>
          <w:sz w:val="27"/>
          <w:szCs w:val="27"/>
        </w:rPr>
        <w:t>»</w:t>
      </w:r>
      <w:r w:rsidR="00DC52C3" w:rsidRPr="00C7340A">
        <w:rPr>
          <w:sz w:val="27"/>
          <w:szCs w:val="27"/>
        </w:rPr>
        <w:t xml:space="preserve"> в 20</w:t>
      </w:r>
      <w:r w:rsidR="003946F5" w:rsidRPr="00C7340A">
        <w:rPr>
          <w:sz w:val="27"/>
          <w:szCs w:val="27"/>
        </w:rPr>
        <w:t>2</w:t>
      </w:r>
      <w:r w:rsidR="00100458" w:rsidRPr="00C7340A">
        <w:rPr>
          <w:sz w:val="27"/>
          <w:szCs w:val="27"/>
        </w:rPr>
        <w:t>1</w:t>
      </w:r>
      <w:r w:rsidR="00DC52C3" w:rsidRPr="00C7340A">
        <w:rPr>
          <w:b/>
          <w:sz w:val="27"/>
          <w:szCs w:val="27"/>
        </w:rPr>
        <w:t xml:space="preserve"> </w:t>
      </w:r>
      <w:r w:rsidR="00DC52C3" w:rsidRPr="00C7340A">
        <w:rPr>
          <w:sz w:val="27"/>
          <w:szCs w:val="27"/>
        </w:rPr>
        <w:t>году</w:t>
      </w:r>
      <w:r w:rsidRPr="00C7340A">
        <w:rPr>
          <w:sz w:val="27"/>
          <w:szCs w:val="27"/>
        </w:rPr>
        <w:t xml:space="preserve"> </w:t>
      </w:r>
      <w:r w:rsidR="00597BDE" w:rsidRPr="00C7340A">
        <w:rPr>
          <w:sz w:val="27"/>
          <w:szCs w:val="27"/>
        </w:rPr>
        <w:t>(</w:t>
      </w:r>
      <w:r w:rsidRPr="00C7340A">
        <w:rPr>
          <w:sz w:val="27"/>
          <w:szCs w:val="27"/>
        </w:rPr>
        <w:t>приложени</w:t>
      </w:r>
      <w:r w:rsidR="00597BDE" w:rsidRPr="00C7340A">
        <w:rPr>
          <w:sz w:val="27"/>
          <w:szCs w:val="27"/>
        </w:rPr>
        <w:t>е</w:t>
      </w:r>
      <w:r w:rsidRPr="00C7340A">
        <w:rPr>
          <w:sz w:val="27"/>
          <w:szCs w:val="27"/>
        </w:rPr>
        <w:t xml:space="preserve"> 1</w:t>
      </w:r>
      <w:r w:rsidR="00597BDE" w:rsidRPr="00C7340A">
        <w:rPr>
          <w:sz w:val="27"/>
          <w:szCs w:val="27"/>
        </w:rPr>
        <w:t>).</w:t>
      </w:r>
    </w:p>
    <w:p w:rsidR="00C7340A" w:rsidRPr="00C7340A" w:rsidRDefault="00AE21E6" w:rsidP="00C7340A">
      <w:pPr>
        <w:numPr>
          <w:ilvl w:val="0"/>
          <w:numId w:val="6"/>
        </w:numPr>
        <w:jc w:val="both"/>
        <w:rPr>
          <w:sz w:val="27"/>
          <w:szCs w:val="27"/>
        </w:rPr>
      </w:pPr>
      <w:r w:rsidRPr="00C7340A">
        <w:rPr>
          <w:noProof/>
          <w:sz w:val="27"/>
          <w:szCs w:val="2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285115</wp:posOffset>
            </wp:positionV>
            <wp:extent cx="1513205" cy="1513205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0A" w:rsidRPr="00C7340A">
        <w:rPr>
          <w:sz w:val="27"/>
          <w:szCs w:val="27"/>
        </w:rPr>
        <w:t>Утвердить м</w:t>
      </w:r>
      <w:r w:rsidR="00C7340A" w:rsidRPr="00C7340A">
        <w:rPr>
          <w:rFonts w:eastAsia="Calibri"/>
          <w:sz w:val="27"/>
          <w:szCs w:val="27"/>
        </w:rPr>
        <w:t>униципальные показатели п</w:t>
      </w:r>
      <w:r w:rsidR="00C7340A" w:rsidRPr="00C7340A">
        <w:rPr>
          <w:sz w:val="27"/>
          <w:szCs w:val="27"/>
        </w:rPr>
        <w:t>овышения качества образования в школах с низкими результатами обучения и в школах, функционирующих в неблагоприятных социальных условиях (приложение 2).</w:t>
      </w:r>
    </w:p>
    <w:p w:rsidR="00FE67A1" w:rsidRPr="00C7340A" w:rsidRDefault="00086BED" w:rsidP="00100458">
      <w:pPr>
        <w:ind w:left="142"/>
        <w:jc w:val="both"/>
        <w:rPr>
          <w:sz w:val="27"/>
          <w:szCs w:val="27"/>
        </w:rPr>
      </w:pPr>
      <w:r w:rsidRPr="00C7340A">
        <w:rPr>
          <w:sz w:val="27"/>
          <w:szCs w:val="27"/>
        </w:rPr>
        <w:t>2.</w:t>
      </w:r>
      <w:r w:rsidR="00100458" w:rsidRPr="00C7340A">
        <w:rPr>
          <w:sz w:val="27"/>
          <w:szCs w:val="27"/>
        </w:rPr>
        <w:t xml:space="preserve"> </w:t>
      </w:r>
      <w:r w:rsidR="00233B95" w:rsidRPr="00C7340A">
        <w:rPr>
          <w:sz w:val="27"/>
          <w:szCs w:val="27"/>
        </w:rPr>
        <w:t>К</w:t>
      </w:r>
      <w:r w:rsidR="007539D2" w:rsidRPr="00C7340A">
        <w:rPr>
          <w:sz w:val="27"/>
          <w:szCs w:val="27"/>
        </w:rPr>
        <w:t xml:space="preserve">онтроль за исполнением </w:t>
      </w:r>
      <w:r w:rsidR="001E588B" w:rsidRPr="00C7340A">
        <w:rPr>
          <w:sz w:val="27"/>
          <w:szCs w:val="27"/>
        </w:rPr>
        <w:t xml:space="preserve">настоящего </w:t>
      </w:r>
      <w:r w:rsidR="007539D2" w:rsidRPr="00C7340A">
        <w:rPr>
          <w:sz w:val="27"/>
          <w:szCs w:val="27"/>
        </w:rPr>
        <w:t xml:space="preserve">приказа возложить на заместителя </w:t>
      </w:r>
      <w:r w:rsidRPr="00C7340A">
        <w:rPr>
          <w:sz w:val="27"/>
          <w:szCs w:val="27"/>
        </w:rPr>
        <w:t xml:space="preserve"> </w:t>
      </w:r>
      <w:r w:rsidR="007539D2" w:rsidRPr="00C7340A">
        <w:rPr>
          <w:sz w:val="27"/>
          <w:szCs w:val="27"/>
        </w:rPr>
        <w:t xml:space="preserve">начальника отдела образования </w:t>
      </w:r>
      <w:r w:rsidR="00100458" w:rsidRPr="00C7340A">
        <w:rPr>
          <w:sz w:val="27"/>
          <w:szCs w:val="27"/>
        </w:rPr>
        <w:t>Свиридову Л.В.</w:t>
      </w:r>
    </w:p>
    <w:p w:rsidR="00AB7ED6" w:rsidRPr="00C7340A" w:rsidRDefault="00AE21E6" w:rsidP="00AB7ED6">
      <w:pPr>
        <w:ind w:left="142"/>
        <w:jc w:val="both"/>
        <w:rPr>
          <w:sz w:val="27"/>
          <w:szCs w:val="27"/>
        </w:rPr>
      </w:pPr>
      <w:r w:rsidRPr="00C7340A">
        <w:rPr>
          <w:noProof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180340</wp:posOffset>
            </wp:positionV>
            <wp:extent cx="923925" cy="619125"/>
            <wp:effectExtent l="0" t="0" r="0" b="0"/>
            <wp:wrapNone/>
            <wp:docPr id="4" name="Рисунок 4" descr="Немце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мцева 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A1" w:rsidRPr="00C7340A">
        <w:rPr>
          <w:sz w:val="27"/>
          <w:szCs w:val="27"/>
        </w:rPr>
        <w:t xml:space="preserve">Начальник </w:t>
      </w:r>
    </w:p>
    <w:p w:rsidR="00DA3F0D" w:rsidRPr="00C7340A" w:rsidRDefault="00FE67A1" w:rsidP="00AB7ED6">
      <w:pPr>
        <w:ind w:left="142"/>
        <w:jc w:val="both"/>
        <w:rPr>
          <w:sz w:val="27"/>
          <w:szCs w:val="27"/>
        </w:rPr>
      </w:pPr>
      <w:r w:rsidRPr="00C7340A">
        <w:rPr>
          <w:sz w:val="27"/>
          <w:szCs w:val="27"/>
        </w:rPr>
        <w:t>отдела</w:t>
      </w:r>
      <w:r w:rsidR="003F1FC9" w:rsidRPr="00C7340A">
        <w:rPr>
          <w:sz w:val="27"/>
          <w:szCs w:val="27"/>
        </w:rPr>
        <w:t xml:space="preserve"> образования</w:t>
      </w:r>
      <w:r w:rsidR="00100458" w:rsidRPr="00C7340A">
        <w:rPr>
          <w:sz w:val="27"/>
          <w:szCs w:val="27"/>
        </w:rPr>
        <w:tab/>
      </w:r>
      <w:r w:rsidR="00100458" w:rsidRPr="00C7340A">
        <w:rPr>
          <w:sz w:val="27"/>
          <w:szCs w:val="27"/>
        </w:rPr>
        <w:tab/>
      </w:r>
      <w:r w:rsidR="00100458" w:rsidRPr="00C7340A">
        <w:rPr>
          <w:sz w:val="27"/>
          <w:szCs w:val="27"/>
        </w:rPr>
        <w:tab/>
      </w:r>
      <w:r w:rsidR="00100458" w:rsidRPr="00C7340A">
        <w:rPr>
          <w:sz w:val="27"/>
          <w:szCs w:val="27"/>
        </w:rPr>
        <w:tab/>
      </w:r>
      <w:r w:rsidR="00100458" w:rsidRPr="00C7340A">
        <w:rPr>
          <w:sz w:val="27"/>
          <w:szCs w:val="27"/>
        </w:rPr>
        <w:tab/>
      </w:r>
      <w:r w:rsidR="00AB7ED6" w:rsidRPr="00C7340A">
        <w:rPr>
          <w:sz w:val="27"/>
          <w:szCs w:val="27"/>
        </w:rPr>
        <w:tab/>
      </w:r>
      <w:r w:rsidR="00AB7ED6" w:rsidRPr="00C7340A">
        <w:rPr>
          <w:sz w:val="27"/>
          <w:szCs w:val="27"/>
        </w:rPr>
        <w:tab/>
      </w:r>
      <w:r w:rsidR="003F1FC9" w:rsidRPr="00C7340A">
        <w:rPr>
          <w:sz w:val="27"/>
          <w:szCs w:val="27"/>
        </w:rPr>
        <w:t>И.М. Немцева</w:t>
      </w:r>
    </w:p>
    <w:p w:rsidR="00C7340A" w:rsidRDefault="00C7340A" w:rsidP="00AB7ED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B7ED6" w:rsidRPr="00EC1509" w:rsidRDefault="00AB7ED6" w:rsidP="00AB7ED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1509">
        <w:rPr>
          <w:rFonts w:ascii="Times New Roman" w:hAnsi="Times New Roman"/>
          <w:sz w:val="28"/>
          <w:szCs w:val="28"/>
        </w:rPr>
        <w:t>риложение</w:t>
      </w:r>
      <w:r w:rsidR="00E16CA6">
        <w:rPr>
          <w:rFonts w:ascii="Times New Roman" w:hAnsi="Times New Roman"/>
          <w:sz w:val="28"/>
          <w:szCs w:val="28"/>
        </w:rPr>
        <w:t xml:space="preserve"> 1</w:t>
      </w:r>
    </w:p>
    <w:p w:rsidR="00AB7ED6" w:rsidRPr="00EC1509" w:rsidRDefault="00AB7ED6" w:rsidP="00AB7ED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к приказу от 25.03.2021 г. № 109</w:t>
      </w:r>
    </w:p>
    <w:p w:rsid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ED6" w:rsidRPr="00AC685A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C685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B7ED6" w:rsidRP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B7ED6">
        <w:rPr>
          <w:rFonts w:ascii="Times New Roman" w:hAnsi="Times New Roman"/>
          <w:b/>
          <w:bCs/>
          <w:sz w:val="28"/>
          <w:szCs w:val="28"/>
        </w:rPr>
        <w:t>«</w:t>
      </w:r>
      <w:r w:rsidRPr="00AB7ED6">
        <w:rPr>
          <w:rFonts w:ascii="Times New Roman" w:hAnsi="Times New Roman"/>
          <w:b/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 в Добринском муниципальном районе</w:t>
      </w:r>
      <w:r w:rsidRPr="00AB7ED6">
        <w:rPr>
          <w:rFonts w:ascii="Times New Roman" w:hAnsi="Times New Roman"/>
          <w:b/>
          <w:bCs/>
          <w:sz w:val="28"/>
          <w:szCs w:val="28"/>
        </w:rPr>
        <w:t>»</w:t>
      </w:r>
    </w:p>
    <w:p w:rsidR="00AB7ED6" w:rsidRP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B7ED6">
        <w:rPr>
          <w:rFonts w:ascii="Times New Roman" w:hAnsi="Times New Roman"/>
          <w:b/>
          <w:sz w:val="28"/>
          <w:szCs w:val="28"/>
        </w:rPr>
        <w:t>на 2021 год.</w:t>
      </w:r>
    </w:p>
    <w:p w:rsidR="00AB7ED6" w:rsidRPr="00AC685A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76D91"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p w:rsidR="00AB7ED6" w:rsidRPr="00C76D91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rPr>
                <w:rFonts w:ascii="Times New Roman" w:hAnsi="Times New Roman"/>
              </w:rPr>
            </w:pPr>
            <w:r w:rsidRPr="00E16CA6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</w:t>
            </w:r>
            <w:r w:rsidRPr="00E16CA6">
              <w:rPr>
                <w:rFonts w:ascii="Times New Roman" w:hAnsi="Times New Roman"/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 в Добринском муниципальном районе</w:t>
            </w:r>
            <w:r w:rsidRPr="00E16CA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16CA6">
              <w:rPr>
                <w:sz w:val="28"/>
                <w:szCs w:val="28"/>
              </w:rPr>
              <w:t xml:space="preserve"> </w:t>
            </w:r>
            <w:r w:rsidRPr="00E16CA6">
              <w:rPr>
                <w:rFonts w:ascii="Times New Roman" w:hAnsi="Times New Roman"/>
                <w:bCs/>
                <w:sz w:val="28"/>
                <w:szCs w:val="28"/>
              </w:rPr>
              <w:t xml:space="preserve"> на 2021 год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Приказ УОиН Липецкой области от 01.03.2021 № 256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2021 году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Приказ УОиН Липецкой области от 22.03.2021 № 385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«Об утверждении региональной модели работы со школами с низкими образовательными результатами и/или функционирующими в трудных социально-экономических условиях»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Отдел образования Добринского муниципального района, образовательные организации, участники мероприятия 21: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СОШ №2 п. Добринка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СОШ с. Мазейка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СШ с. Н. Матренка 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СШ п. Петровский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МБОУ СШ ст. Хворостянка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СШ с. Т. Чамлык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СОШ с. В. Матренка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МБОУ СОШ с. Дубовое </w:t>
            </w:r>
          </w:p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МБОУ СШ с. Пушкино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Повысить качество образования в образовательных организациях с низкими образовательными результатами обучающихся путём реализации </w:t>
            </w: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комплекса мер поддержки, разработанного с учётом результатов диагностических процедур (внешней оценки качества образования, региональных мониторингов).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Обеспечить ресурсное наполнение образовательных организаций со сложным  контингентом обучающихся, находящихся в сложных социальных условиях, специалистами и современным оборудованием.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Обеспечить создание образовательной среды, создающей возможности для индивидуализации подходов к преподаванию учебных дисциплин.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Выстроить сетевое партнерство образовательных организаций.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Создавать условия для повышения профессиональной компетенции педагогических команд.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Осуществлять постоянный мониторинг с опорой на достоверные данные при принятии управленческих решений.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Создавать условия для выравнивания возможностей доступа обучающихся к современным условиям обучения и образовательным ресурсом в соответствии с ФГОС.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Обеспечить организацию эффективной работы с обучающимися, испытывающими сложности в освоении ООП.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Основные показатели (индикаторы)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1)развитие муниципальной образовательной системы: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школ, фукционирующих в неблагоприятных социальных условиях –70 %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школ, показывающих низкие результаты обучения - 0%;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-доля школ, укомплектованных педагогическими кадрами в соответствии с требованиями законодательства – 100%;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школ с низкими результатами обучения и школ, находящихся в неблагоприятных социальных условиях, в которых обеспечены условия равного доступа к получению качественного общего образования каждым ребенком независимо от места проживания, социального статуса и материального положения семей, в том числе с использованием дистанционных технологий, в общем количестве организаций – 100 %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- доля детей школьного возраста, которые получат возможность по выбору получить доступные качественные услуги дополнительного образования – </w:t>
            </w: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76 %</w:t>
            </w:r>
          </w:p>
          <w:p w:rsidR="00AB7ED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2) развитие кадрового потенциала:</w:t>
            </w:r>
          </w:p>
          <w:p w:rsidR="002F27DE" w:rsidRPr="00E16CA6" w:rsidRDefault="002F27DE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педагогических работников образовательных организаций, прошедших переподготовку или повышение квалификации в соответствии с ФГОС, в общей численности педагогических работников, работающих в данных образовательных организациях – 95%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3) повышение образовательных результатов обучающихся: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образовательных организаций, в которых обучающиеся успешно прошли государственную итоговую аттестацию – 100%;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школ, обучающиеся которых продемонстрировали более высокие результаты обучения по итогам года, среди школ с низкими результатами обучения и школ, функционирующих в неблагоприятных социальных условиях – 50%;</w:t>
            </w:r>
          </w:p>
          <w:p w:rsidR="00AB7ED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доля учащихся, принимающих участие в школьном этапе Всероссийской олимпиады школьников –90 %</w:t>
            </w:r>
          </w:p>
          <w:p w:rsidR="002F27DE" w:rsidRPr="00E16CA6" w:rsidRDefault="002F27DE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Программа реализуется через механизмы финансовой и методической поддержки школ с низкими результатами обучения и школ, функционирующих в неблагоприятных социальных условиях.</w:t>
            </w:r>
          </w:p>
          <w:p w:rsidR="00AB7ED6" w:rsidRDefault="002F27DE" w:rsidP="002F27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муниципалитете разра</w:t>
            </w:r>
            <w:r w:rsidRPr="002F27D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атывается</w:t>
            </w:r>
            <w:r w:rsidRPr="002F27D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F27DE">
              <w:rPr>
                <w:rFonts w:ascii="Times New Roman" w:hAnsi="Times New Roman"/>
                <w:sz w:val="28"/>
                <w:szCs w:val="28"/>
              </w:rPr>
              <w:t xml:space="preserve"> проект «Кадры Добринского образования: сопровождение профессионального роста и развития»</w:t>
            </w:r>
          </w:p>
          <w:p w:rsidR="002F27DE" w:rsidRPr="00E16CA6" w:rsidRDefault="002F27DE" w:rsidP="002F27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финансирование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Текущее финансирование за счёт средств областного и муниципального бюджетов по отрасли «Образование»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Риск увеличения объема работы, возложенный на администрацию и педагогов ОУ;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необходимость кадрового обеспечения молодыми специалистами;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недостаточная активность педагогов;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недостаточность финансирования;</w:t>
            </w:r>
          </w:p>
          <w:p w:rsidR="002F27DE" w:rsidRPr="00E16CA6" w:rsidRDefault="00AB7ED6" w:rsidP="002F27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нехватка опыта у молодых специалистов.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 xml:space="preserve">-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детей. 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- Привлечение в систему молодых высококвалифицированных кадров.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Включение в процесс управления образованием информационно – коммуникационных технологий.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Привлечение новых информационных сервисов, электронных образовательных ресурсов нового поколения.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Создание условий для получения положительной динамики качества образования в школах с низкими результатами обучения, функционирующих в сложных социальных условиях.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Создание эффективного сетевого взаимодействия школ с разным уровнем качества результатов обучения  и функционирующих в разных социальных условиях</w:t>
            </w:r>
          </w:p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- Разработка системы мер поддержки школ на муниципальном уровне</w:t>
            </w:r>
          </w:p>
        </w:tc>
      </w:tr>
      <w:tr w:rsidR="00AB7ED6" w:rsidRPr="00EC1509" w:rsidTr="00E16CA6">
        <w:tc>
          <w:tcPr>
            <w:tcW w:w="2830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lastRenderedPageBreak/>
              <w:t>Контроль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B7ED6" w:rsidRPr="00E16CA6" w:rsidRDefault="00AB7ED6" w:rsidP="00E16C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A6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Добринского муниципального района</w:t>
            </w:r>
          </w:p>
        </w:tc>
      </w:tr>
    </w:tbl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1509">
        <w:rPr>
          <w:rFonts w:ascii="Times New Roman" w:hAnsi="Times New Roman"/>
          <w:b/>
          <w:sz w:val="28"/>
          <w:szCs w:val="28"/>
        </w:rPr>
        <w:t>2. Анализ проблемы обеспечения качества образования в муниципальной образовательной системе.</w:t>
      </w:r>
    </w:p>
    <w:p w:rsidR="00AB7ED6" w:rsidRPr="00EC1509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Анализируя проблемы качества образования в муниципальной образовательной системе, следует отметить, </w:t>
      </w:r>
      <w:r>
        <w:rPr>
          <w:rFonts w:ascii="Times New Roman" w:hAnsi="Times New Roman"/>
          <w:sz w:val="28"/>
          <w:szCs w:val="28"/>
        </w:rPr>
        <w:t>что в  2020 году была продолжена реализация национального проекта «Образование».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В рамках проекта «Современная школа» в МБОУ СОШ № 2 </w:t>
      </w:r>
      <w:r>
        <w:rPr>
          <w:rFonts w:ascii="Times New Roman" w:hAnsi="Times New Roman"/>
          <w:sz w:val="28"/>
          <w:szCs w:val="28"/>
        </w:rPr>
        <w:t>п. Добринка</w:t>
      </w:r>
      <w:r w:rsidRPr="009904AA">
        <w:rPr>
          <w:rFonts w:ascii="Times New Roman" w:hAnsi="Times New Roman"/>
          <w:sz w:val="28"/>
          <w:szCs w:val="28"/>
        </w:rPr>
        <w:t>, в МБОУ СШ п. Петровский</w:t>
      </w:r>
      <w:r>
        <w:rPr>
          <w:rFonts w:ascii="Times New Roman" w:hAnsi="Times New Roman"/>
          <w:sz w:val="28"/>
          <w:szCs w:val="28"/>
        </w:rPr>
        <w:t>, МБОУ «Лицей №1» п. Добринка, МБОУ «Гимназия им. И.М. Макаренкова» с. Ольговка</w:t>
      </w:r>
      <w:r w:rsidRPr="009904AA">
        <w:rPr>
          <w:rFonts w:ascii="Times New Roman" w:hAnsi="Times New Roman"/>
          <w:sz w:val="28"/>
          <w:szCs w:val="28"/>
        </w:rPr>
        <w:t xml:space="preserve"> и МБОУ СШ с. Т. Чамлык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904AA">
        <w:rPr>
          <w:rFonts w:ascii="Times New Roman" w:hAnsi="Times New Roman"/>
          <w:sz w:val="28"/>
          <w:szCs w:val="28"/>
        </w:rPr>
        <w:t xml:space="preserve">созданы центры цифрового и гуманитарного профилей, способствующих формированию современных компетенций у детей, в том числе по предметным областям «Технология», «Информатика», «Основы безопасности жизнедеятельности».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</w:t>
      </w:r>
      <w:r w:rsidRPr="009904AA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5</w:t>
      </w:r>
      <w:r w:rsidRPr="009904AA">
        <w:rPr>
          <w:rFonts w:ascii="Times New Roman" w:hAnsi="Times New Roman"/>
          <w:sz w:val="28"/>
          <w:szCs w:val="28"/>
        </w:rPr>
        <w:t xml:space="preserve"> центров реализуются программы дополнительного образования «Робототехника», «Оказание первой помощи», «Промдизайн», </w:t>
      </w:r>
      <w:r>
        <w:rPr>
          <w:rFonts w:ascii="Times New Roman" w:hAnsi="Times New Roman"/>
          <w:sz w:val="28"/>
          <w:szCs w:val="28"/>
        </w:rPr>
        <w:t>«</w:t>
      </w:r>
      <w:r w:rsidRPr="009904AA">
        <w:rPr>
          <w:rFonts w:ascii="Times New Roman" w:hAnsi="Times New Roman"/>
          <w:sz w:val="28"/>
          <w:szCs w:val="28"/>
        </w:rPr>
        <w:t>Геоинформационные технологии», «Программирование», «Виртуальная реальность», «Белая ладья». Данные программы реализуются и для других ОУ путем сетевого взаимодействия.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В рамках регионального проекта «Цифровая образовательная среда» в 2020 году на базе МБОУ СОШ № 2 п. Добринка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9904AA">
        <w:rPr>
          <w:rFonts w:ascii="Times New Roman" w:hAnsi="Times New Roman"/>
          <w:sz w:val="28"/>
          <w:szCs w:val="28"/>
        </w:rPr>
        <w:t>создана целевая модель цифровой образовательной среды,</w:t>
      </w:r>
      <w:r>
        <w:rPr>
          <w:rFonts w:ascii="Times New Roman" w:hAnsi="Times New Roman"/>
          <w:sz w:val="28"/>
          <w:szCs w:val="28"/>
        </w:rPr>
        <w:t xml:space="preserve"> в рамках которой открыта площадка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F1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bit</w:t>
      </w:r>
      <w:r>
        <w:rPr>
          <w:rFonts w:ascii="Times New Roman" w:hAnsi="Times New Roman"/>
          <w:sz w:val="28"/>
          <w:szCs w:val="28"/>
        </w:rPr>
        <w:t>», реализующая программы по робототехнике и программированию.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Здесь же функциони</w:t>
      </w:r>
      <w:r>
        <w:rPr>
          <w:rFonts w:ascii="Times New Roman" w:hAnsi="Times New Roman"/>
          <w:sz w:val="28"/>
          <w:szCs w:val="28"/>
        </w:rPr>
        <w:t>ровала</w:t>
      </w:r>
      <w:r w:rsidRPr="009904AA">
        <w:rPr>
          <w:rFonts w:ascii="Times New Roman" w:hAnsi="Times New Roman"/>
          <w:sz w:val="28"/>
          <w:szCs w:val="28"/>
        </w:rPr>
        <w:t xml:space="preserve"> площадка «Яндекс</w:t>
      </w:r>
      <w:r>
        <w:rPr>
          <w:rFonts w:ascii="Times New Roman" w:hAnsi="Times New Roman"/>
          <w:sz w:val="28"/>
          <w:szCs w:val="28"/>
        </w:rPr>
        <w:t>.Л</w:t>
      </w:r>
      <w:r w:rsidRPr="009904AA">
        <w:rPr>
          <w:rFonts w:ascii="Times New Roman" w:hAnsi="Times New Roman"/>
          <w:sz w:val="28"/>
          <w:szCs w:val="28"/>
        </w:rPr>
        <w:t>ицей» по обучению школьников 8</w:t>
      </w:r>
      <w:r>
        <w:rPr>
          <w:rFonts w:ascii="Times New Roman" w:hAnsi="Times New Roman"/>
          <w:sz w:val="28"/>
          <w:szCs w:val="28"/>
        </w:rPr>
        <w:t>-</w:t>
      </w:r>
      <w:r w:rsidRPr="009904AA">
        <w:rPr>
          <w:rFonts w:ascii="Times New Roman" w:hAnsi="Times New Roman"/>
          <w:sz w:val="28"/>
          <w:szCs w:val="28"/>
        </w:rPr>
        <w:t>9 классов основам программирования</w:t>
      </w:r>
      <w:r>
        <w:rPr>
          <w:rFonts w:ascii="Times New Roman" w:hAnsi="Times New Roman"/>
          <w:sz w:val="28"/>
          <w:szCs w:val="28"/>
        </w:rPr>
        <w:t>, на которой в дистанционном формате обучалось 4 учащихся</w:t>
      </w:r>
      <w:r w:rsidRPr="00990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форма обучения была выбрана из-за низкой профессиональной компетенции педагогов СОШ </w:t>
      </w:r>
      <w:r>
        <w:rPr>
          <w:rFonts w:ascii="Times New Roman" w:hAnsi="Times New Roman"/>
          <w:sz w:val="28"/>
          <w:szCs w:val="28"/>
        </w:rPr>
        <w:lastRenderedPageBreak/>
        <w:t>№2 п. Добринка, которые не смогли пройти тестирование по программам программирования и получить сертификаты, что являлось обязательным условием открытия очной формы обучения.</w:t>
      </w:r>
      <w:r w:rsidRPr="009904AA">
        <w:rPr>
          <w:rFonts w:ascii="Times New Roman" w:hAnsi="Times New Roman"/>
          <w:sz w:val="28"/>
          <w:szCs w:val="28"/>
        </w:rPr>
        <w:t xml:space="preserve"> 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В образовательных учреждениях проведена работа по повышению скорости интернета до 50 </w:t>
      </w:r>
      <w:r>
        <w:rPr>
          <w:rFonts w:ascii="Times New Roman" w:hAnsi="Times New Roman"/>
          <w:sz w:val="28"/>
          <w:szCs w:val="28"/>
        </w:rPr>
        <w:t>Мбит</w:t>
      </w:r>
      <w:r w:rsidRPr="009904AA">
        <w:rPr>
          <w:rFonts w:ascii="Times New Roman" w:hAnsi="Times New Roman"/>
          <w:sz w:val="28"/>
          <w:szCs w:val="28"/>
        </w:rPr>
        <w:t xml:space="preserve">/с, в двух ОУ скорость достигает 100 </w:t>
      </w:r>
      <w:r>
        <w:rPr>
          <w:rFonts w:ascii="Times New Roman" w:hAnsi="Times New Roman"/>
          <w:sz w:val="28"/>
          <w:szCs w:val="28"/>
        </w:rPr>
        <w:t>Мбит</w:t>
      </w:r>
      <w:r w:rsidRPr="009904AA">
        <w:rPr>
          <w:rFonts w:ascii="Times New Roman" w:hAnsi="Times New Roman"/>
          <w:sz w:val="28"/>
          <w:szCs w:val="28"/>
        </w:rPr>
        <w:t xml:space="preserve"> /с. Однако в двух филиалах, трех ГДО, 6 детских садах, трех учреждениях дополнительного образования скорость интернета от 1 до 10 </w:t>
      </w:r>
      <w:r>
        <w:rPr>
          <w:rFonts w:ascii="Times New Roman" w:hAnsi="Times New Roman"/>
          <w:sz w:val="28"/>
          <w:szCs w:val="28"/>
        </w:rPr>
        <w:t>Мбит</w:t>
      </w:r>
      <w:r w:rsidRPr="009904AA">
        <w:rPr>
          <w:rFonts w:ascii="Times New Roman" w:hAnsi="Times New Roman"/>
          <w:sz w:val="28"/>
          <w:szCs w:val="28"/>
        </w:rPr>
        <w:t xml:space="preserve"> /с.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Большое внимание в </w:t>
      </w:r>
      <w:r>
        <w:rPr>
          <w:rFonts w:ascii="Times New Roman" w:hAnsi="Times New Roman"/>
          <w:sz w:val="28"/>
          <w:szCs w:val="28"/>
        </w:rPr>
        <w:t>2020</w:t>
      </w:r>
      <w:r w:rsidRPr="009904AA">
        <w:rPr>
          <w:rFonts w:ascii="Times New Roman" w:hAnsi="Times New Roman"/>
          <w:sz w:val="28"/>
          <w:szCs w:val="28"/>
        </w:rPr>
        <w:t xml:space="preserve"> году уделялось вопросам повышения качества знаний.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Во всех ОУ разработаны и ежеквартально анализируются «дорожные карты» по решению проблем необъективности оценивания знаний, снижения результативности оценочных процедур.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Государственная итоговая аттестация обучающихся общеобразовательных учреждений Добринского района в 2020 году проходила в соответствии с нормативными документами федерального и регионального уровней. Нарушений в подготовке и процедуре проведения экзаменов не выявлено. В 2020 году из – за пандемии ОГЭ в 9 классах не проводился.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В 2020 году при 100% успеваемости на ЕГЭ по русскому языку качество знаний выросло до 87,5%. ЕГЭ по м</w:t>
      </w:r>
      <w:r w:rsidRPr="009904AA">
        <w:rPr>
          <w:rFonts w:ascii="Times New Roman" w:hAnsi="Times New Roman"/>
          <w:color w:val="000000"/>
          <w:spacing w:val="-1"/>
          <w:sz w:val="28"/>
          <w:szCs w:val="28"/>
        </w:rPr>
        <w:t xml:space="preserve">атематике профильного уровня сдали все, качество знаний составило 63%. </w:t>
      </w:r>
      <w:r w:rsidRPr="009904AA">
        <w:rPr>
          <w:rFonts w:ascii="Times New Roman" w:hAnsi="Times New Roman"/>
          <w:sz w:val="28"/>
          <w:szCs w:val="28"/>
        </w:rPr>
        <w:t>Улучшились результаты ЕГЭ по обществознанию, биологии, химии, географии, литературе</w:t>
      </w:r>
      <w:r w:rsidRPr="009904A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9904AA">
        <w:rPr>
          <w:rFonts w:ascii="Times New Roman" w:hAnsi="Times New Roman"/>
          <w:sz w:val="28"/>
          <w:szCs w:val="28"/>
        </w:rPr>
        <w:t>За низкое качество знаний по результатам ЕГЭ объявлены замечания трем руководителям общеобразовательных учреждений (СШ с. Н. Матрёнка, СШ с. Т. Чамлык, СОШ с. В. Матрёнка).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прошедшем году</w:t>
      </w:r>
      <w:r w:rsidRPr="009904AA">
        <w:rPr>
          <w:rFonts w:ascii="Times New Roman" w:hAnsi="Times New Roman"/>
          <w:sz w:val="28"/>
          <w:szCs w:val="28"/>
        </w:rPr>
        <w:t xml:space="preserve"> было 13 высокобалл</w:t>
      </w:r>
      <w:r>
        <w:rPr>
          <w:rFonts w:ascii="Times New Roman" w:hAnsi="Times New Roman"/>
          <w:sz w:val="28"/>
          <w:szCs w:val="28"/>
        </w:rPr>
        <w:t xml:space="preserve">ьников, но 5 из них (38,5%) по выбранному </w:t>
      </w:r>
      <w:r w:rsidRPr="009904AA">
        <w:rPr>
          <w:rFonts w:ascii="Times New Roman" w:hAnsi="Times New Roman"/>
          <w:sz w:val="28"/>
          <w:szCs w:val="28"/>
        </w:rPr>
        <w:t>предмету не имеют итоговую «5». Эта проблема появилась в районе впервые.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Наблюдается положительная тенденция: количество высокобалльников выросло, количество «не перешедших порог» уменьшилось в два раза. Однако, имеются факты, когда выпускник, не сдает ЕГЭ по предмету, по которому имеет годовую отметку «5». Это является следствием необъективной оценки знаний учащихся</w:t>
      </w:r>
      <w:r>
        <w:rPr>
          <w:rFonts w:ascii="Times New Roman" w:hAnsi="Times New Roman"/>
          <w:sz w:val="28"/>
          <w:szCs w:val="28"/>
        </w:rPr>
        <w:t xml:space="preserve"> школой. В </w:t>
      </w:r>
      <w:r w:rsidRPr="009904AA">
        <w:rPr>
          <w:rFonts w:ascii="Times New Roman" w:hAnsi="Times New Roman"/>
          <w:sz w:val="28"/>
          <w:szCs w:val="28"/>
        </w:rPr>
        <w:t xml:space="preserve">2020 г. 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9904AA">
        <w:rPr>
          <w:rFonts w:ascii="Times New Roman" w:hAnsi="Times New Roman"/>
          <w:sz w:val="28"/>
          <w:szCs w:val="28"/>
        </w:rPr>
        <w:t xml:space="preserve">СОШ №2 п. Добринка.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04AA">
        <w:rPr>
          <w:rFonts w:ascii="Times New Roman" w:hAnsi="Times New Roman"/>
          <w:sz w:val="28"/>
          <w:szCs w:val="28"/>
          <w:lang w:eastAsia="ar-SA"/>
        </w:rPr>
        <w:t>Медали «За особые успехи в учении» получили 16 выпускников, что составляет 15,6% от количества одиннадцатиклассников. Однако доля медалистов, сдавших ЕГЭ не менее чем на 70 баллов, составила в этом году 37,5%.</w:t>
      </w:r>
      <w:r w:rsidRPr="009904AA">
        <w:rPr>
          <w:rFonts w:ascii="Times New Roman" w:hAnsi="Times New Roman"/>
          <w:bCs/>
          <w:sz w:val="28"/>
          <w:szCs w:val="28"/>
        </w:rPr>
        <w:t xml:space="preserve"> </w:t>
      </w:r>
      <w:r w:rsidRPr="009904AA">
        <w:rPr>
          <w:rFonts w:ascii="Times New Roman" w:hAnsi="Times New Roman"/>
          <w:sz w:val="28"/>
          <w:szCs w:val="28"/>
        </w:rPr>
        <w:t xml:space="preserve">За несоответствие итоговой оценки и результата ЕГЭ у выпускников, пятерым руководителям школ объявлено замечание, </w:t>
      </w:r>
      <w:r>
        <w:rPr>
          <w:rFonts w:ascii="Times New Roman" w:hAnsi="Times New Roman"/>
          <w:sz w:val="28"/>
          <w:szCs w:val="28"/>
        </w:rPr>
        <w:t>как результат - сок</w:t>
      </w:r>
      <w:r w:rsidRPr="009904AA">
        <w:rPr>
          <w:rFonts w:ascii="Times New Roman" w:hAnsi="Times New Roman"/>
          <w:sz w:val="28"/>
          <w:szCs w:val="28"/>
        </w:rPr>
        <w:t>ращени</w:t>
      </w:r>
      <w:r>
        <w:rPr>
          <w:rFonts w:ascii="Times New Roman" w:hAnsi="Times New Roman"/>
          <w:sz w:val="28"/>
          <w:szCs w:val="28"/>
        </w:rPr>
        <w:t>е</w:t>
      </w:r>
      <w:r w:rsidRPr="009904AA">
        <w:rPr>
          <w:rFonts w:ascii="Times New Roman" w:hAnsi="Times New Roman"/>
          <w:sz w:val="28"/>
          <w:szCs w:val="28"/>
        </w:rPr>
        <w:t xml:space="preserve"> им ежеквартальной премии на 30%. 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Пути решения проблем, связанных с результатами ЕГЭ, нашли отражение в дорожной карте по подготовке к ГИА в 2021 году- это анализ банка данных на обучающихся 9-11 классов, претендующих на медаль; мониторинг учебных достижений выпускников 9,11 классов; разработка индивидуальных планов подготовки к ГИА выпускников.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 xml:space="preserve">Перед руководителями общеобразовательных учреждений поставлена задача: более ответственно подходить к внутришкольному контролю, его </w:t>
      </w:r>
      <w:r w:rsidRPr="009904AA">
        <w:rPr>
          <w:rFonts w:ascii="Times New Roman" w:hAnsi="Times New Roman"/>
          <w:sz w:val="28"/>
          <w:szCs w:val="28"/>
        </w:rPr>
        <w:lastRenderedPageBreak/>
        <w:t>качественному анализу, к контролю за объективностью оценивания знаний учащихся, чтобы результаты ГИА не отличались от годовых оценок.</w:t>
      </w:r>
    </w:p>
    <w:p w:rsidR="00AB7ED6" w:rsidRPr="009904AA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ВПР и ЕГЭ являются инструментом внешней оценки качества образования. </w:t>
      </w:r>
      <w:r w:rsidRPr="009904AA">
        <w:rPr>
          <w:rFonts w:ascii="Times New Roman" w:hAnsi="Times New Roman"/>
          <w:sz w:val="28"/>
          <w:szCs w:val="28"/>
        </w:rPr>
        <w:t>Из – за распространения короновирусной инфекции и переходе в связи с этим на дистанционный формат обучения, всероссийские проверочные работы были перенесены с весны 2020 года на осень.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 показал, что 3 проблемных школы вышли из списка с необъективностью результатов, но добавились 5 других школ, где процент несоответствия свыше 30.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04AA">
        <w:rPr>
          <w:rFonts w:ascii="Times New Roman" w:hAnsi="Times New Roman"/>
          <w:sz w:val="28"/>
          <w:szCs w:val="28"/>
        </w:rPr>
        <w:t xml:space="preserve">амые низкие результаты ВПР показали дети из МБОУ СШ ст. Хворостянка, СОШ с. Дубовое, СШ с. Н. Матренка, СШ п. Петровский, СОШ с. В. Матренка, это говорит о том, что вопрос объективности оценки в данных школах остался актуальным, кроме того, на качество знаний повлияло и то, что в этих школах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9904AA">
        <w:rPr>
          <w:rFonts w:ascii="Times New Roman" w:hAnsi="Times New Roman"/>
          <w:sz w:val="28"/>
          <w:szCs w:val="28"/>
        </w:rPr>
        <w:t>не имели возможности заниматься в режиме онлайн во время дистанционного обучения весной - 5,4 % учащихся (с. Дубовое), 6, 3 % (ст. Хворостянка), 56 % (с. Н. Матренка).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«Лицей №1» п. Добринка по 19 предметам ВПР нет 100% успеваемости. Перед школой поставлена задача: больше внимания уделять работе с одаренными детьми.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sz w:val="28"/>
          <w:szCs w:val="28"/>
        </w:rPr>
        <w:t>Согласно методическим рекомендациям во всех школах проведен анализ ВПР по каждому классу, параллели и в целом по ОО, внесены изменения в рабочие программы по учебным предметам, учебным курсам, курсам внеурочной деятельности. Проведена работа по составлению «дорожных карт» по оптимизации учебных методов использования современных технологий и разработке индивидуальных образовательных маршрутов для учащихся.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904AA">
        <w:rPr>
          <w:rFonts w:ascii="Times New Roman" w:hAnsi="Times New Roman"/>
          <w:color w:val="0D0D0D"/>
          <w:sz w:val="28"/>
          <w:szCs w:val="28"/>
        </w:rPr>
        <w:t>В школьном этапе всероссийской олимпиады приняло участие 95 % учащихся 4-11 классов</w:t>
      </w:r>
      <w:r w:rsidRPr="009904AA">
        <w:rPr>
          <w:rFonts w:ascii="Times New Roman" w:hAnsi="Times New Roman"/>
          <w:sz w:val="28"/>
          <w:szCs w:val="28"/>
        </w:rPr>
        <w:t xml:space="preserve">. На муниципальный этап ВСоШ вышли 17% участников школьного этапа, процент успешности увеличился на 2,8 %.  </w:t>
      </w:r>
      <w:r w:rsidRPr="009904AA">
        <w:rPr>
          <w:rFonts w:ascii="Times New Roman" w:hAnsi="Times New Roman"/>
          <w:color w:val="0D0D0D"/>
          <w:sz w:val="28"/>
          <w:szCs w:val="28"/>
        </w:rPr>
        <w:t xml:space="preserve">В региональном этапе олимпиады приняли участие 42 </w:t>
      </w:r>
      <w:r>
        <w:rPr>
          <w:rFonts w:ascii="Times New Roman" w:hAnsi="Times New Roman"/>
          <w:color w:val="0D0D0D"/>
          <w:sz w:val="28"/>
          <w:szCs w:val="28"/>
        </w:rPr>
        <w:t xml:space="preserve">(2019 г. - 36) </w:t>
      </w:r>
      <w:r w:rsidRPr="009904AA">
        <w:rPr>
          <w:rFonts w:ascii="Times New Roman" w:hAnsi="Times New Roman"/>
          <w:color w:val="0D0D0D"/>
          <w:sz w:val="28"/>
          <w:szCs w:val="28"/>
        </w:rPr>
        <w:t xml:space="preserve">человека. Победителями и призерами стали 2 человека (4,8%) из СОШ № 2 п. Добринка и гимназии с. Ольговка. Вместе с тем наблюдается снижение результатов на региональном этапе (в прошлом периоде было 7 чел), что говорит о недостаточно системной работе педагогов с одаренными детьми. 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04AA">
        <w:rPr>
          <w:rFonts w:ascii="Times New Roman" w:hAnsi="Times New Roman"/>
          <w:color w:val="0D0D0D"/>
          <w:sz w:val="28"/>
          <w:szCs w:val="28"/>
        </w:rPr>
        <w:t xml:space="preserve"> В ГОБОУ «Центр поддержки одаренных детей «Стратегия» на различных профильных сменах обучались 33 ребенка (в 2019 – 36). Снижение связано с понижением мотивации на обучение в центре. Причина этого – недостаточная подготовленность детей к вводным контрольным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904AA">
        <w:rPr>
          <w:rFonts w:ascii="Times New Roman" w:hAnsi="Times New Roman"/>
          <w:sz w:val="28"/>
          <w:szCs w:val="28"/>
        </w:rPr>
        <w:t xml:space="preserve"> работам, что </w:t>
      </w:r>
      <w:r>
        <w:rPr>
          <w:rFonts w:ascii="Times New Roman" w:hAnsi="Times New Roman"/>
          <w:sz w:val="28"/>
          <w:szCs w:val="28"/>
        </w:rPr>
        <w:t xml:space="preserve">подтверждает </w:t>
      </w:r>
      <w:r w:rsidRPr="009904AA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Pr="009904AA">
        <w:rPr>
          <w:rFonts w:ascii="Times New Roman" w:hAnsi="Times New Roman"/>
          <w:sz w:val="28"/>
          <w:szCs w:val="28"/>
        </w:rPr>
        <w:t xml:space="preserve"> системной работы в ОУ в течение года.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904AA">
        <w:rPr>
          <w:rFonts w:ascii="Times New Roman" w:hAnsi="Times New Roman"/>
          <w:color w:val="0D0D0D"/>
          <w:sz w:val="28"/>
          <w:szCs w:val="28"/>
        </w:rPr>
        <w:t>Данная проблема обсуждена на районных предметных методических объединениях.</w:t>
      </w:r>
    </w:p>
    <w:p w:rsidR="00AB7ED6" w:rsidRPr="009904AA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Pr="009904AA">
        <w:rPr>
          <w:rFonts w:ascii="Times New Roman" w:hAnsi="Times New Roman"/>
          <w:sz w:val="28"/>
          <w:szCs w:val="28"/>
        </w:rPr>
        <w:t>38 учащихся и 2 педагога района приняли участие в различных проектах образовательного центра «Сириус», в 2019 году – 2 учащихся.</w:t>
      </w:r>
    </w:p>
    <w:p w:rsidR="00AB7ED6" w:rsidRPr="00AB7ED6" w:rsidRDefault="00AB7ED6" w:rsidP="00AB7ED6">
      <w:pPr>
        <w:pStyle w:val="a7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Анализ состояния качества образования в школах Добринского муниципального района позволил выявить следующие проблемы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lastRenderedPageBreak/>
        <w:t>- недостаточная мотивация участников образовательного процесса на его качество;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наличие школ, находящихся в неблагоприятных социальных условиях и требующих расширения образовательного пространства (МБОУ СОШ № 2 п. Добринка, СШ п. Петровский, СШ с. В. Матренка, СШ с. Дубовое, СШ ст. Хворостянка, СШ с. Пушкино, СШ с. Мазейка, СШ с. Т. Чамлык, СШ с. Н. Матренка);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наличие школ, находящихся в значительной удаленности (МБОУ СШ с. Н. Матренка, с. Дубовое, с. В. Матренка, ст. Хворостянка);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наличие школ, осуществляющих образовательную деятельность для обучающихся, для которых русский язык не является родным (МБОУ СШ с. В. Матренка, СШ п. Петровский;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сложность контингента (большой процент детей с ОВЗ (организация инклюзивного образования в МБОУ СШ с. Пушкино, МБОУ СШ ст. Хворостянка, МБОУ СШ с. Т. Чамлык, МБОУ СОШ с. Мазейка,  МБОУ СОШ с. В. Матрёнка, МБОУ СШ п. Петровский, МБОУ СОШ № 2 п. Добринка), с учебными и поведенческими проблемами);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большой процент (28,6%) педагогов пенсионного возраста;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необходимость замены большого количества устаревшей компьютерной техники;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необходимость дополнительной оптимизации сети ОУ;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-необходимость повышения скорости доступа к сети Интернет.</w:t>
      </w:r>
    </w:p>
    <w:p w:rsidR="00AB7ED6" w:rsidRPr="00AB7ED6" w:rsidRDefault="00AB7ED6" w:rsidP="00AB7ED6">
      <w:pPr>
        <w:pStyle w:val="a7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Неуспешность школ в обеспечении качественного образования связана с: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отсутствием информационно – методического центра на муниципальном уровне, штатной единицы специалиста отдела образования, курирующего методическую работу в районе;</w:t>
      </w:r>
    </w:p>
    <w:p w:rsidR="00AB7ED6" w:rsidRPr="00AB7ED6" w:rsidRDefault="00AB7ED6" w:rsidP="00AB7ED6">
      <w:pPr>
        <w:pStyle w:val="a7"/>
        <w:jc w:val="both"/>
        <w:rPr>
          <w:rFonts w:ascii="Times New Roman" w:hAnsi="Times New Roman"/>
          <w:color w:val="0D0D0D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-недостаточной методологической, технологической готовностью руководителей ОУ к переходу школ в эффективный режим функционирования;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7ED6">
        <w:rPr>
          <w:rFonts w:ascii="Times New Roman" w:hAnsi="Times New Roman"/>
          <w:color w:val="0D0D0D"/>
          <w:sz w:val="28"/>
          <w:szCs w:val="28"/>
        </w:rPr>
        <w:t>- недостаточной  методической компетентностью педагогов в работе с детьми, имеющими особые образовательные потребности.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В основе неуспешности каждой образовательной организации свои причины, поэтому необходимо проведение комплексного анализа факторов, обуславливающих недостатки в работе школ для обеспечения адресных мер поддержки. 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Во всех образовательных организациях отмечается недостаточная компетентность в вопросах выстраивания взаимоотношений с родителями учащихся с ограниченными возможностями здоровья. Эти родители отказываются пройти ПМПК и организовать обучение по адаптированным программам для своих детей.</w:t>
      </w:r>
    </w:p>
    <w:p w:rsidR="00AB7ED6" w:rsidRPr="00EC1509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6D91">
        <w:rPr>
          <w:rFonts w:ascii="Times New Roman" w:hAnsi="Times New Roman"/>
          <w:sz w:val="28"/>
          <w:szCs w:val="28"/>
        </w:rPr>
        <w:t>В дополнительном образования имеются проблемы в материально – техническом оснащении (замена компьютерного оборудования), в отсутствии  сетевых форм и дистанционных технологий, большом проценте педагогов – внешних совместителей (62,3%), малом  количестве педагогов до 35 лет (20 %).</w:t>
      </w:r>
    </w:p>
    <w:p w:rsid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ED6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32F0">
        <w:rPr>
          <w:rFonts w:ascii="Times New Roman" w:hAnsi="Times New Roman"/>
          <w:b/>
          <w:sz w:val="28"/>
          <w:szCs w:val="28"/>
        </w:rPr>
        <w:lastRenderedPageBreak/>
        <w:t>3. Целевой раздел.</w:t>
      </w:r>
    </w:p>
    <w:p w:rsidR="00AB7ED6" w:rsidRPr="00F832F0" w:rsidRDefault="00AB7ED6" w:rsidP="00AB7E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6D54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186D5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 повысить качество образования в образовательных организациях с низкими образовательными результатами обучающихся путём реализации комплекса мер поддержки, разработанного с учётом результатов диагностических процедур (внешней оценки качества образования, региональных мониторингов).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ED6" w:rsidRPr="00EC1509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ED6" w:rsidRDefault="00AB7ED6" w:rsidP="00AB7ED6">
      <w:pPr>
        <w:pStyle w:val="a7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186D54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 w:rsidRPr="00186D54">
        <w:rPr>
          <w:rFonts w:ascii="Times New Roman" w:hAnsi="Times New Roman"/>
          <w:sz w:val="28"/>
          <w:szCs w:val="28"/>
          <w:u w:val="single"/>
        </w:rPr>
        <w:t>муниципальной программы повышения качества образования:</w:t>
      </w:r>
    </w:p>
    <w:p w:rsidR="00AB7ED6" w:rsidRDefault="00AB7ED6" w:rsidP="00AB7ED6">
      <w:pPr>
        <w:pStyle w:val="a7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7ED6" w:rsidRPr="00EC1509" w:rsidRDefault="00AB7ED6" w:rsidP="00AB7ED6">
      <w:pPr>
        <w:pStyle w:val="a7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обеспечить ресурсное наполнение образовательных организаций со сложным  контингентом обучающихся, находящихся в сложных социальных условиях, специалистами и современным оборудованием;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обеспечить создание образовательной среды, создающей возможности для индивидуализации подходов к преподаванию учебных дисциплин;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выстроить сетевое партнерство образовательных организаций;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создать условия для повышения профессиональной компетенции педагогических команд;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</w:t>
      </w:r>
      <w:r w:rsidRPr="00EC1509">
        <w:rPr>
          <w:rFonts w:ascii="Times New Roman" w:hAnsi="Times New Roman"/>
          <w:sz w:val="28"/>
          <w:szCs w:val="28"/>
        </w:rPr>
        <w:t>ть постоянный мониторинг с опорой на достоверные данные при принятии управленческих решений,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создать условия для выравнивания возможностей доступа обучающихся к современным условиям обучения и образовательным ресурсом в соответствии с ФГОС;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обеспечить организацию эффективной работы с обучающимися, испытывающими сложности в освоении ООП.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7ED6" w:rsidRDefault="00AB7ED6" w:rsidP="00AB7ED6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186D54">
        <w:rPr>
          <w:rFonts w:ascii="Times New Roman" w:hAnsi="Times New Roman"/>
          <w:b/>
          <w:sz w:val="28"/>
          <w:szCs w:val="28"/>
          <w:u w:val="single"/>
        </w:rPr>
        <w:t>Индикаторы</w:t>
      </w:r>
      <w:r w:rsidRPr="00186D54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программы:</w:t>
      </w:r>
    </w:p>
    <w:p w:rsidR="00AB7ED6" w:rsidRPr="00186D54" w:rsidRDefault="00AB7ED6" w:rsidP="00AB7ED6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7ED6" w:rsidRPr="00C96DCD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6DCD">
        <w:rPr>
          <w:rFonts w:ascii="Times New Roman" w:hAnsi="Times New Roman"/>
          <w:sz w:val="28"/>
          <w:szCs w:val="28"/>
          <w:u w:val="single"/>
        </w:rPr>
        <w:t>1)развитие муниципальной образовательной системы:</w:t>
      </w:r>
    </w:p>
    <w:p w:rsidR="00AB7ED6" w:rsidRPr="00A5602D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602D">
        <w:rPr>
          <w:rFonts w:ascii="Times New Roman" w:hAnsi="Times New Roman"/>
          <w:sz w:val="28"/>
          <w:szCs w:val="28"/>
        </w:rPr>
        <w:t>- доля школ, фукционирующих в неблагоприятных социальных условиях 2021 –(</w:t>
      </w:r>
      <w:r>
        <w:rPr>
          <w:rFonts w:ascii="Times New Roman" w:hAnsi="Times New Roman"/>
          <w:sz w:val="28"/>
          <w:szCs w:val="28"/>
        </w:rPr>
        <w:t>70</w:t>
      </w:r>
      <w:r w:rsidRPr="00A5602D">
        <w:rPr>
          <w:rFonts w:ascii="Times New Roman" w:hAnsi="Times New Roman"/>
          <w:sz w:val="28"/>
          <w:szCs w:val="28"/>
        </w:rPr>
        <w:t xml:space="preserve"> %);</w:t>
      </w:r>
    </w:p>
    <w:p w:rsidR="00AB7ED6" w:rsidRPr="00A5602D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602D">
        <w:rPr>
          <w:rFonts w:ascii="Times New Roman" w:hAnsi="Times New Roman"/>
          <w:sz w:val="28"/>
          <w:szCs w:val="28"/>
        </w:rPr>
        <w:t>- доля школ, показывающих низкие результаты обучения (2021 – 0%);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602D">
        <w:rPr>
          <w:rFonts w:ascii="Times New Roman" w:hAnsi="Times New Roman"/>
          <w:sz w:val="28"/>
          <w:szCs w:val="28"/>
        </w:rPr>
        <w:t>- доля школ с низкими результатами обучения и школ, функционирующих в неблагоприятных социальных условиях, в которых обеспечены</w:t>
      </w:r>
      <w:r w:rsidRPr="00EC1509">
        <w:rPr>
          <w:rFonts w:ascii="Times New Roman" w:hAnsi="Times New Roman"/>
          <w:sz w:val="28"/>
          <w:szCs w:val="28"/>
        </w:rPr>
        <w:t xml:space="preserve"> условия равного доступа к получению качественного общего образования каждым ребенком независимо от места проживания, социального статуса и материального положения семей, в том числе с использованием дистанционных технологий, в общем количестве организаций – 100 %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доля школ, укомплектованных педагогическими кадрами в соответствии с требованиями законодательства – 100%;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доля детей школьного возраста, которые получат возможность по выбору получить доступные качественные услуги дополнительного образования – 7</w:t>
      </w:r>
      <w:r>
        <w:rPr>
          <w:rFonts w:ascii="Times New Roman" w:hAnsi="Times New Roman"/>
          <w:sz w:val="28"/>
          <w:szCs w:val="28"/>
        </w:rPr>
        <w:t>6</w:t>
      </w:r>
      <w:r w:rsidRPr="00EC1509">
        <w:rPr>
          <w:rFonts w:ascii="Times New Roman" w:hAnsi="Times New Roman"/>
          <w:sz w:val="28"/>
          <w:szCs w:val="28"/>
        </w:rPr>
        <w:t>%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7ED6" w:rsidRPr="00C96DCD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6DCD">
        <w:rPr>
          <w:rFonts w:ascii="Times New Roman" w:hAnsi="Times New Roman"/>
          <w:sz w:val="28"/>
          <w:szCs w:val="28"/>
          <w:u w:val="single"/>
        </w:rPr>
        <w:t>2) развитие кадрового потенциала: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lastRenderedPageBreak/>
        <w:t>- доля педагогических работников образовательных организаций, прошедших переподготовку или повышение квалификации в соответствии с ФГОС, в общей численности педагогических работников, работающих в данных образовательных организациях – 95%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7ED6" w:rsidRPr="00C96DCD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C1509">
        <w:rPr>
          <w:rFonts w:ascii="Times New Roman" w:hAnsi="Times New Roman"/>
          <w:sz w:val="28"/>
          <w:szCs w:val="28"/>
        </w:rPr>
        <w:t xml:space="preserve">3) </w:t>
      </w:r>
      <w:r w:rsidRPr="00C96DCD">
        <w:rPr>
          <w:rFonts w:ascii="Times New Roman" w:hAnsi="Times New Roman"/>
          <w:sz w:val="28"/>
          <w:szCs w:val="28"/>
          <w:u w:val="single"/>
        </w:rPr>
        <w:t>повышение образовательных результатов обучающихся: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доля образовательных организаций, в которых обучающиеся успешно прошли государственную итоговую аттестацию – 100%;</w:t>
      </w:r>
    </w:p>
    <w:p w:rsidR="007F3303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- доля школ, обучающиеся которых продемонстрировали более высокие результаты обучения по итогам года, среди школ с низкими результатами 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обучения и школ, функционирующих в неблагоприятных социальных условиях – 50%;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- доля учащихся, принимающих участие в школьном этапе Всероссийской олимпиады школьников – </w:t>
      </w:r>
      <w:r>
        <w:rPr>
          <w:rFonts w:ascii="Times New Roman" w:hAnsi="Times New Roman"/>
          <w:sz w:val="28"/>
          <w:szCs w:val="28"/>
        </w:rPr>
        <w:t>9</w:t>
      </w:r>
      <w:r w:rsidRPr="00EC1509">
        <w:rPr>
          <w:rFonts w:ascii="Times New Roman" w:hAnsi="Times New Roman"/>
          <w:sz w:val="28"/>
          <w:szCs w:val="28"/>
        </w:rPr>
        <w:t>0%.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6DCD">
        <w:rPr>
          <w:rFonts w:ascii="Times New Roman" w:hAnsi="Times New Roman"/>
          <w:b/>
          <w:sz w:val="28"/>
          <w:szCs w:val="28"/>
          <w:u w:val="single"/>
        </w:rPr>
        <w:t>В ходе выполнения мероприятий Программы ожидается: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привлечение в отрасль высококвалифицированных кадров, а также молодых специалистов;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-совершенствование системы работы с талантливыми детьми;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-обеспечение в образовательных организациях условий, отвечающих современным требованиям к образовательному процессу, в том числе в части сохранения  и укрепления здоровья учащихся и воспитанников;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EC1509">
        <w:rPr>
          <w:rFonts w:ascii="Times New Roman" w:hAnsi="Times New Roman"/>
          <w:sz w:val="28"/>
          <w:szCs w:val="28"/>
        </w:rPr>
        <w:t xml:space="preserve"> новых информационных сервисов, систем и технологий обучения, электронных образовательных ресурсов нового поколения;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включение информационно – коммуникационных технологий в процесс управления образованием на всех уровнях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6DCD">
        <w:rPr>
          <w:rFonts w:ascii="Times New Roman" w:hAnsi="Times New Roman"/>
          <w:b/>
          <w:sz w:val="28"/>
          <w:szCs w:val="28"/>
          <w:u w:val="single"/>
        </w:rPr>
        <w:t>Для повышения результативности системы общего образования  муниципалитета будут выполнены следующие мероприятия в 2021 году: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увелич</w:t>
      </w:r>
      <w:r>
        <w:rPr>
          <w:rFonts w:ascii="Times New Roman" w:hAnsi="Times New Roman"/>
          <w:sz w:val="28"/>
          <w:szCs w:val="28"/>
        </w:rPr>
        <w:t>ение</w:t>
      </w:r>
      <w:r w:rsidRPr="00EC1509">
        <w:rPr>
          <w:rFonts w:ascii="Times New Roman" w:hAnsi="Times New Roman"/>
          <w:sz w:val="28"/>
          <w:szCs w:val="28"/>
        </w:rPr>
        <w:t xml:space="preserve"> количества ОО, имеющих автоматизированные рабочие места учителя в 100 % учебных помещений, путем составления дополнительных заявок и привлечения спонсоров к их  финансированию;</w:t>
      </w:r>
    </w:p>
    <w:p w:rsidR="00AB7ED6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9904AA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</w:t>
      </w:r>
      <w:r w:rsidRPr="009904AA">
        <w:rPr>
          <w:rFonts w:ascii="Times New Roman" w:hAnsi="Times New Roman"/>
          <w:sz w:val="28"/>
          <w:szCs w:val="28"/>
        </w:rPr>
        <w:t xml:space="preserve"> количеств</w:t>
      </w:r>
      <w:r w:rsidR="00D612C8">
        <w:rPr>
          <w:rFonts w:ascii="Times New Roman" w:hAnsi="Times New Roman"/>
          <w:sz w:val="28"/>
          <w:szCs w:val="28"/>
        </w:rPr>
        <w:t>а</w:t>
      </w:r>
      <w:r w:rsidRPr="009904AA">
        <w:rPr>
          <w:rFonts w:ascii="Times New Roman" w:hAnsi="Times New Roman"/>
          <w:sz w:val="28"/>
          <w:szCs w:val="28"/>
        </w:rPr>
        <w:t xml:space="preserve"> ОО, имеющих современное оборудование для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904AA">
        <w:rPr>
          <w:rFonts w:ascii="Times New Roman" w:hAnsi="Times New Roman"/>
          <w:sz w:val="28"/>
          <w:szCs w:val="28"/>
        </w:rPr>
        <w:t xml:space="preserve"> моделирования, </w:t>
      </w:r>
      <w:r>
        <w:rPr>
          <w:rFonts w:ascii="Times New Roman" w:hAnsi="Times New Roman"/>
          <w:sz w:val="28"/>
          <w:szCs w:val="28"/>
        </w:rPr>
        <w:t>предметные лаборатории для организации</w:t>
      </w:r>
      <w:r w:rsidRPr="009904AA">
        <w:rPr>
          <w:rFonts w:ascii="Times New Roman" w:hAnsi="Times New Roman"/>
          <w:sz w:val="28"/>
          <w:szCs w:val="28"/>
        </w:rPr>
        <w:t xml:space="preserve"> научно –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9904AA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 xml:space="preserve">естественно-научной и технической направленности </w:t>
      </w:r>
      <w:r w:rsidRPr="009904AA">
        <w:rPr>
          <w:rFonts w:ascii="Times New Roman" w:hAnsi="Times New Roman"/>
          <w:sz w:val="28"/>
          <w:szCs w:val="28"/>
        </w:rPr>
        <w:t>за счет открытия «Точк</w:t>
      </w:r>
      <w:r>
        <w:rPr>
          <w:rFonts w:ascii="Times New Roman" w:hAnsi="Times New Roman"/>
          <w:sz w:val="28"/>
          <w:szCs w:val="28"/>
        </w:rPr>
        <w:t>и</w:t>
      </w:r>
      <w:r w:rsidRPr="009904AA">
        <w:rPr>
          <w:rFonts w:ascii="Times New Roman" w:hAnsi="Times New Roman"/>
          <w:sz w:val="28"/>
          <w:szCs w:val="28"/>
        </w:rPr>
        <w:t xml:space="preserve"> роста» в 1 ОУ в 2021 году (МБОУ СШ с. Пушкино);</w:t>
      </w:r>
    </w:p>
    <w:p w:rsidR="00AB7ED6" w:rsidRPr="00EC1509" w:rsidRDefault="00AB7ED6" w:rsidP="00AB7E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очных групп обучения на </w:t>
      </w:r>
      <w:r w:rsidRPr="009904AA">
        <w:rPr>
          <w:rFonts w:ascii="Times New Roman" w:hAnsi="Times New Roman"/>
          <w:sz w:val="28"/>
          <w:szCs w:val="28"/>
        </w:rPr>
        <w:t>площадк</w:t>
      </w:r>
      <w:r>
        <w:rPr>
          <w:rFonts w:ascii="Times New Roman" w:hAnsi="Times New Roman"/>
          <w:sz w:val="28"/>
          <w:szCs w:val="28"/>
        </w:rPr>
        <w:t>е</w:t>
      </w:r>
      <w:r w:rsidRPr="009904AA">
        <w:rPr>
          <w:rFonts w:ascii="Times New Roman" w:hAnsi="Times New Roman"/>
          <w:sz w:val="28"/>
          <w:szCs w:val="28"/>
        </w:rPr>
        <w:t xml:space="preserve"> «Яндекс</w:t>
      </w:r>
      <w:r>
        <w:rPr>
          <w:rFonts w:ascii="Times New Roman" w:hAnsi="Times New Roman"/>
          <w:sz w:val="28"/>
          <w:szCs w:val="28"/>
        </w:rPr>
        <w:t>.Л</w:t>
      </w:r>
      <w:r w:rsidRPr="009904AA">
        <w:rPr>
          <w:rFonts w:ascii="Times New Roman" w:hAnsi="Times New Roman"/>
          <w:sz w:val="28"/>
          <w:szCs w:val="28"/>
        </w:rPr>
        <w:t>ицей» по обучению школьников 8</w:t>
      </w:r>
      <w:r>
        <w:rPr>
          <w:rFonts w:ascii="Times New Roman" w:hAnsi="Times New Roman"/>
          <w:sz w:val="28"/>
          <w:szCs w:val="28"/>
        </w:rPr>
        <w:t>-10</w:t>
      </w:r>
      <w:r w:rsidRPr="009904AA">
        <w:rPr>
          <w:rFonts w:ascii="Times New Roman" w:hAnsi="Times New Roman"/>
          <w:sz w:val="28"/>
          <w:szCs w:val="28"/>
        </w:rPr>
        <w:t xml:space="preserve"> классов основам программирования</w:t>
      </w:r>
      <w:r w:rsidRPr="00EC1509">
        <w:rPr>
          <w:rFonts w:ascii="Times New Roman" w:hAnsi="Times New Roman"/>
          <w:sz w:val="28"/>
          <w:szCs w:val="28"/>
        </w:rPr>
        <w:t>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увелич</w:t>
      </w:r>
      <w:r>
        <w:rPr>
          <w:rFonts w:ascii="Times New Roman" w:hAnsi="Times New Roman"/>
          <w:sz w:val="28"/>
          <w:szCs w:val="28"/>
        </w:rPr>
        <w:t>ение</w:t>
      </w:r>
      <w:r w:rsidRPr="00EC1509">
        <w:rPr>
          <w:rFonts w:ascii="Times New Roman" w:hAnsi="Times New Roman"/>
          <w:sz w:val="28"/>
          <w:szCs w:val="28"/>
        </w:rPr>
        <w:t xml:space="preserve"> до 100 % количества ОО, имеющих скорость доступа к сети Интернет до 50 Мбит, беспроводной локальной сети с 100% покрытием;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разработ</w:t>
      </w:r>
      <w:r>
        <w:rPr>
          <w:rFonts w:ascii="Times New Roman" w:hAnsi="Times New Roman"/>
          <w:sz w:val="28"/>
          <w:szCs w:val="28"/>
        </w:rPr>
        <w:t>ка</w:t>
      </w:r>
      <w:r w:rsidRPr="00EC1509">
        <w:rPr>
          <w:rFonts w:ascii="Times New Roman" w:hAnsi="Times New Roman"/>
          <w:sz w:val="28"/>
          <w:szCs w:val="28"/>
        </w:rPr>
        <w:t xml:space="preserve"> в 100 %  ОО плана мероприятий  по использованию дистанционных технологий и электронного обучения;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>ение</w:t>
      </w:r>
      <w:r w:rsidRPr="00EC1509">
        <w:rPr>
          <w:rFonts w:ascii="Times New Roman" w:hAnsi="Times New Roman"/>
          <w:sz w:val="28"/>
          <w:szCs w:val="28"/>
        </w:rPr>
        <w:t xml:space="preserve"> всех желающих учащихся возможностью углубленного изучения отдельных предметов и профильного обучения путем сетевого взаимодействия;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профориентации на педагогические профессии, создание «педкласса»</w:t>
      </w:r>
      <w:r w:rsidRPr="00EC1509">
        <w:rPr>
          <w:rFonts w:ascii="Times New Roman" w:hAnsi="Times New Roman"/>
          <w:sz w:val="28"/>
          <w:szCs w:val="28"/>
        </w:rPr>
        <w:t>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F3303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волонтёрского движения по популяризации педагогических профессий;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 w:rsidRPr="00EC1509">
        <w:rPr>
          <w:rFonts w:ascii="Times New Roman" w:hAnsi="Times New Roman"/>
          <w:sz w:val="28"/>
          <w:szCs w:val="28"/>
        </w:rPr>
        <w:t xml:space="preserve"> группы мобильного кадрового резерва</w:t>
      </w:r>
      <w:r>
        <w:rPr>
          <w:rFonts w:ascii="Times New Roman" w:hAnsi="Times New Roman"/>
          <w:sz w:val="28"/>
          <w:szCs w:val="28"/>
        </w:rPr>
        <w:t>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адресных маршрутов для профессионального роста и развития педагогов</w:t>
      </w:r>
      <w:r w:rsidRPr="00EC1509">
        <w:rPr>
          <w:rFonts w:ascii="Times New Roman" w:hAnsi="Times New Roman"/>
          <w:sz w:val="28"/>
          <w:szCs w:val="28"/>
        </w:rPr>
        <w:t>.</w:t>
      </w:r>
    </w:p>
    <w:p w:rsidR="00AB7ED6" w:rsidRDefault="00AB7ED6" w:rsidP="00AB7ED6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7ED6" w:rsidRDefault="00AB7ED6" w:rsidP="00AB7ED6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6DCD">
        <w:rPr>
          <w:rFonts w:ascii="Times New Roman" w:hAnsi="Times New Roman"/>
          <w:b/>
          <w:sz w:val="28"/>
          <w:szCs w:val="28"/>
          <w:u w:val="single"/>
        </w:rPr>
        <w:t>Для повышения результативности системы дополнительного образования будут выполнены следующие мероприятия в 2021 году:</w:t>
      </w:r>
    </w:p>
    <w:p w:rsidR="00AB7ED6" w:rsidRPr="00C96DCD" w:rsidRDefault="00AB7ED6" w:rsidP="00AB7ED6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509">
        <w:rPr>
          <w:rFonts w:ascii="Times New Roman" w:hAnsi="Times New Roman"/>
          <w:sz w:val="28"/>
          <w:szCs w:val="28"/>
        </w:rPr>
        <w:t xml:space="preserve">увеличение процента охвата </w:t>
      </w:r>
      <w:r>
        <w:rPr>
          <w:rFonts w:ascii="Times New Roman" w:hAnsi="Times New Roman"/>
          <w:sz w:val="28"/>
          <w:szCs w:val="28"/>
        </w:rPr>
        <w:t>программами ПФДО</w:t>
      </w:r>
      <w:r w:rsidRPr="00EC1509">
        <w:rPr>
          <w:rFonts w:ascii="Times New Roman" w:hAnsi="Times New Roman"/>
          <w:sz w:val="28"/>
          <w:szCs w:val="28"/>
        </w:rPr>
        <w:t xml:space="preserve">  с 5</w:t>
      </w:r>
      <w:r>
        <w:rPr>
          <w:rFonts w:ascii="Times New Roman" w:hAnsi="Times New Roman"/>
          <w:sz w:val="28"/>
          <w:szCs w:val="28"/>
        </w:rPr>
        <w:t>1,8</w:t>
      </w:r>
      <w:r w:rsidRPr="00EC1509">
        <w:rPr>
          <w:rFonts w:ascii="Times New Roman" w:hAnsi="Times New Roman"/>
          <w:sz w:val="28"/>
          <w:szCs w:val="28"/>
        </w:rPr>
        <w:t xml:space="preserve"> % до 7</w:t>
      </w:r>
      <w:r>
        <w:rPr>
          <w:rFonts w:ascii="Times New Roman" w:hAnsi="Times New Roman"/>
          <w:sz w:val="28"/>
          <w:szCs w:val="28"/>
        </w:rPr>
        <w:t>6</w:t>
      </w:r>
      <w:r w:rsidRPr="00EC1509">
        <w:rPr>
          <w:rFonts w:ascii="Times New Roman" w:hAnsi="Times New Roman"/>
          <w:sz w:val="28"/>
          <w:szCs w:val="28"/>
        </w:rPr>
        <w:t xml:space="preserve"> % в 202</w:t>
      </w:r>
      <w:r>
        <w:rPr>
          <w:rFonts w:ascii="Times New Roman" w:hAnsi="Times New Roman"/>
          <w:sz w:val="28"/>
          <w:szCs w:val="28"/>
        </w:rPr>
        <w:t>1</w:t>
      </w:r>
      <w:r w:rsidRPr="00EC1509">
        <w:rPr>
          <w:rFonts w:ascii="Times New Roman" w:hAnsi="Times New Roman"/>
          <w:sz w:val="28"/>
          <w:szCs w:val="28"/>
        </w:rPr>
        <w:t xml:space="preserve"> году, которое будет происходить за счет </w:t>
      </w:r>
      <w:r>
        <w:rPr>
          <w:rFonts w:ascii="Times New Roman" w:hAnsi="Times New Roman"/>
          <w:sz w:val="28"/>
          <w:szCs w:val="28"/>
        </w:rPr>
        <w:t xml:space="preserve">расширения направленности программ учреждений образования: </w:t>
      </w:r>
      <w:r w:rsidRPr="00EC1509">
        <w:rPr>
          <w:rFonts w:ascii="Times New Roman" w:hAnsi="Times New Roman"/>
          <w:sz w:val="28"/>
          <w:szCs w:val="28"/>
        </w:rPr>
        <w:t xml:space="preserve">разработки новых программ дополнительного образовании естественно – научной и технической </w:t>
      </w:r>
      <w:r>
        <w:rPr>
          <w:rFonts w:ascii="Times New Roman" w:hAnsi="Times New Roman"/>
          <w:sz w:val="28"/>
          <w:szCs w:val="28"/>
        </w:rPr>
        <w:t xml:space="preserve">и спортивно-технической </w:t>
      </w:r>
      <w:r w:rsidRPr="00EC1509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509">
        <w:rPr>
          <w:rFonts w:ascii="Times New Roman" w:hAnsi="Times New Roman"/>
          <w:sz w:val="28"/>
          <w:szCs w:val="28"/>
        </w:rPr>
        <w:t xml:space="preserve"> введение дополнительных ставок педагогов дополнительного образования;</w:t>
      </w:r>
    </w:p>
    <w:p w:rsidR="00AB7ED6" w:rsidRPr="00EC1509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509">
        <w:rPr>
          <w:rFonts w:ascii="Times New Roman" w:hAnsi="Times New Roman"/>
          <w:sz w:val="28"/>
          <w:szCs w:val="28"/>
        </w:rPr>
        <w:t xml:space="preserve"> информационно – просветительская работа с детьми и родителями;</w:t>
      </w:r>
    </w:p>
    <w:p w:rsidR="00AB7ED6" w:rsidRDefault="00AB7ED6" w:rsidP="00AB7ED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509">
        <w:rPr>
          <w:rFonts w:ascii="Times New Roman" w:hAnsi="Times New Roman"/>
          <w:sz w:val="28"/>
          <w:szCs w:val="28"/>
        </w:rPr>
        <w:t xml:space="preserve"> повышение уровня материально – 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  <w:r w:rsidRPr="00EC1509">
        <w:rPr>
          <w:rFonts w:ascii="Times New Roman" w:hAnsi="Times New Roman"/>
          <w:sz w:val="28"/>
          <w:szCs w:val="28"/>
        </w:rPr>
        <w:t xml:space="preserve"> </w:t>
      </w:r>
    </w:p>
    <w:p w:rsidR="00AB7ED6" w:rsidRDefault="00AB7ED6" w:rsidP="00100458">
      <w:pPr>
        <w:ind w:firstLine="708"/>
        <w:jc w:val="both"/>
        <w:rPr>
          <w:sz w:val="28"/>
          <w:szCs w:val="28"/>
        </w:rPr>
      </w:pPr>
    </w:p>
    <w:p w:rsidR="00C7340A" w:rsidRPr="00EC1509" w:rsidRDefault="00C7340A" w:rsidP="00C7340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150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7340A" w:rsidRPr="00EC1509" w:rsidRDefault="00C7340A" w:rsidP="00C7340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C1509">
        <w:rPr>
          <w:rFonts w:ascii="Times New Roman" w:hAnsi="Times New Roman"/>
          <w:sz w:val="28"/>
          <w:szCs w:val="28"/>
        </w:rPr>
        <w:t>к приказу от 25.03.2021 г. № 109</w:t>
      </w:r>
    </w:p>
    <w:p w:rsidR="00646E4D" w:rsidRDefault="00646E4D" w:rsidP="00100458">
      <w:pPr>
        <w:ind w:firstLine="708"/>
        <w:jc w:val="both"/>
        <w:rPr>
          <w:sz w:val="28"/>
          <w:szCs w:val="28"/>
        </w:rPr>
      </w:pPr>
    </w:p>
    <w:p w:rsidR="00646E4D" w:rsidRPr="00646E4D" w:rsidRDefault="00646E4D" w:rsidP="00646E4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46E4D">
        <w:rPr>
          <w:b/>
          <w:color w:val="151516"/>
          <w:sz w:val="28"/>
          <w:szCs w:val="28"/>
          <w:lang w:eastAsia="en-US"/>
        </w:rPr>
        <w:t>Показатели</w:t>
      </w:r>
      <w:r w:rsidRPr="00646E4D">
        <w:rPr>
          <w:b/>
          <w:color w:val="151516"/>
          <w:spacing w:val="54"/>
          <w:sz w:val="28"/>
          <w:szCs w:val="28"/>
          <w:lang w:eastAsia="en-US"/>
        </w:rPr>
        <w:t xml:space="preserve"> </w:t>
      </w:r>
      <w:r w:rsidRPr="00646E4D">
        <w:rPr>
          <w:b/>
          <w:color w:val="151516"/>
          <w:sz w:val="28"/>
          <w:szCs w:val="28"/>
          <w:lang w:eastAsia="en-US"/>
        </w:rPr>
        <w:t>и</w:t>
      </w:r>
      <w:r w:rsidRPr="00646E4D">
        <w:rPr>
          <w:b/>
          <w:color w:val="151516"/>
          <w:spacing w:val="14"/>
          <w:sz w:val="28"/>
          <w:szCs w:val="28"/>
          <w:lang w:eastAsia="en-US"/>
        </w:rPr>
        <w:t xml:space="preserve"> </w:t>
      </w:r>
      <w:r w:rsidRPr="00646E4D">
        <w:rPr>
          <w:b/>
          <w:color w:val="151516"/>
          <w:sz w:val="28"/>
          <w:szCs w:val="28"/>
          <w:lang w:eastAsia="en-US"/>
        </w:rPr>
        <w:t>методы</w:t>
      </w:r>
      <w:r w:rsidRPr="00646E4D">
        <w:rPr>
          <w:b/>
          <w:color w:val="151516"/>
          <w:spacing w:val="22"/>
          <w:sz w:val="28"/>
          <w:szCs w:val="28"/>
          <w:lang w:eastAsia="en-US"/>
        </w:rPr>
        <w:t xml:space="preserve"> </w:t>
      </w:r>
      <w:r w:rsidRPr="00646E4D">
        <w:rPr>
          <w:b/>
          <w:color w:val="151516"/>
          <w:sz w:val="28"/>
          <w:szCs w:val="28"/>
          <w:lang w:eastAsia="en-US"/>
        </w:rPr>
        <w:t>сбора</w:t>
      </w:r>
      <w:r w:rsidRPr="00646E4D">
        <w:rPr>
          <w:b/>
          <w:color w:val="151516"/>
          <w:spacing w:val="31"/>
          <w:sz w:val="28"/>
          <w:szCs w:val="28"/>
          <w:lang w:eastAsia="en-US"/>
        </w:rPr>
        <w:t xml:space="preserve"> </w:t>
      </w:r>
      <w:r w:rsidRPr="00646E4D">
        <w:rPr>
          <w:b/>
          <w:color w:val="151516"/>
          <w:sz w:val="28"/>
          <w:szCs w:val="28"/>
          <w:lang w:eastAsia="en-US"/>
        </w:rPr>
        <w:t>информации</w:t>
      </w:r>
    </w:p>
    <w:p w:rsidR="00646E4D" w:rsidRPr="00646E4D" w:rsidRDefault="00646E4D" w:rsidP="00646E4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127"/>
        <w:gridCol w:w="3686"/>
        <w:gridCol w:w="1984"/>
        <w:gridCol w:w="1281"/>
      </w:tblGrid>
      <w:tr w:rsidR="00670D69" w:rsidRPr="00BC51ED" w:rsidTr="00BC51ED">
        <w:trPr>
          <w:trHeight w:val="547"/>
        </w:trPr>
        <w:tc>
          <w:tcPr>
            <w:tcW w:w="709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Индикаторы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Методы сбора информации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Единица измерения</w:t>
            </w:r>
          </w:p>
        </w:tc>
      </w:tr>
      <w:tr w:rsidR="00670D69" w:rsidRPr="00BC51ED" w:rsidTr="00BC51ED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Р</w:t>
            </w:r>
            <w:r w:rsidRPr="00BC51ED">
              <w:rPr>
                <w:rFonts w:ascii="Times New Roman" w:eastAsia="Calibri" w:hAnsi="Times New Roman"/>
                <w:sz w:val="28"/>
                <w:szCs w:val="28"/>
                <w:u w:val="single"/>
                <w:lang w:val="en-US" w:eastAsia="en-US"/>
              </w:rPr>
              <w:t>азвитие муниципальной образовательной системы</w:t>
            </w: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школ, фукционирующих в неблагоприятных социальных условиях 2021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C7340A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УОиН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%</w:t>
            </w:r>
          </w:p>
        </w:tc>
      </w:tr>
      <w:tr w:rsidR="00670D69" w:rsidRPr="00BC51ED" w:rsidTr="00BC51ED">
        <w:trPr>
          <w:trHeight w:val="617"/>
        </w:trPr>
        <w:tc>
          <w:tcPr>
            <w:tcW w:w="709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школ, показывающих низкие результаты обучения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C7340A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УОиН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%</w:t>
            </w:r>
          </w:p>
        </w:tc>
      </w:tr>
      <w:tr w:rsidR="00670D69" w:rsidRPr="00BC51ED" w:rsidTr="00BC51ED">
        <w:trPr>
          <w:trHeight w:val="1100"/>
        </w:trPr>
        <w:tc>
          <w:tcPr>
            <w:tcW w:w="709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каждым ребенком независимо от места проживания, социального статуса и материального положения семей, в том числе с использованием дистанционных технологий, в общем количестве </w:t>
            </w: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организаций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C7340A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статистические данные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670D69" w:rsidRPr="00BC51ED" w:rsidTr="00BC51ED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школ, укомплектованных педагогическими кадрами в соответствии с требованиями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2C285C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670D69" w:rsidRPr="00BC51ED" w:rsidTr="00BC51ED">
        <w:trPr>
          <w:trHeight w:val="1100"/>
        </w:trPr>
        <w:tc>
          <w:tcPr>
            <w:tcW w:w="709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детей школьного возраста, которые получат возможность по выбору получить доступные качественные услуги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C7340A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выгрузка ПФДО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670D69" w:rsidRPr="00BC51ED" w:rsidTr="00BC51ED">
        <w:trPr>
          <w:trHeight w:val="1937"/>
        </w:trPr>
        <w:tc>
          <w:tcPr>
            <w:tcW w:w="709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u w:val="single"/>
                <w:lang w:val="en-US" w:eastAsia="en-US"/>
              </w:rPr>
              <w:t>Развитие кадрового потенциала</w:t>
            </w:r>
          </w:p>
        </w:tc>
        <w:tc>
          <w:tcPr>
            <w:tcW w:w="3686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педагогических работников образовательных организаций, прошедших переподготовку или повышение квалификации в соответствии с ФГОС, в общей численности педагогических работников, работающих в данных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646E4D" w:rsidRPr="00BC51ED" w:rsidRDefault="002C285C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  <w:tc>
          <w:tcPr>
            <w:tcW w:w="1281" w:type="dxa"/>
            <w:shd w:val="clear" w:color="auto" w:fill="auto"/>
          </w:tcPr>
          <w:p w:rsidR="00646E4D" w:rsidRPr="00BC51ED" w:rsidRDefault="00646E4D" w:rsidP="00BC51ED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2C285C" w:rsidRPr="00BC51ED" w:rsidTr="00BC51ED">
        <w:trPr>
          <w:trHeight w:val="1100"/>
        </w:trPr>
        <w:tc>
          <w:tcPr>
            <w:tcW w:w="709" w:type="dxa"/>
            <w:vMerge w:val="restart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u w:val="single"/>
                <w:lang w:val="en-US" w:eastAsia="en-US"/>
              </w:rPr>
              <w:t>Повышение образовательных результатов обучающихся</w:t>
            </w:r>
          </w:p>
        </w:tc>
        <w:tc>
          <w:tcPr>
            <w:tcW w:w="3686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образовательных организаций, в которых обучающиеся успешно прошли государственную итоговую аттестацию</w:t>
            </w:r>
          </w:p>
        </w:tc>
        <w:tc>
          <w:tcPr>
            <w:tcW w:w="1984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  <w:tc>
          <w:tcPr>
            <w:tcW w:w="1281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2C285C" w:rsidRPr="00BC51ED" w:rsidTr="00BC51ED">
        <w:trPr>
          <w:trHeight w:val="1100"/>
        </w:trPr>
        <w:tc>
          <w:tcPr>
            <w:tcW w:w="709" w:type="dxa"/>
            <w:vMerge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школ, обучающиеся которых продемонстрировали более высокие результаты обучения по итогам года, среди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  <w:tc>
          <w:tcPr>
            <w:tcW w:w="1281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2C285C" w:rsidRPr="00BC51ED" w:rsidTr="00BC51ED">
        <w:trPr>
          <w:trHeight w:val="1100"/>
        </w:trPr>
        <w:tc>
          <w:tcPr>
            <w:tcW w:w="709" w:type="dxa"/>
            <w:vMerge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учащихся, принимающих участие в школьном этапе Всероссийской олимпиады школьников</w:t>
            </w:r>
          </w:p>
        </w:tc>
        <w:tc>
          <w:tcPr>
            <w:tcW w:w="1984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2C285C" w:rsidRPr="00BC51ED" w:rsidRDefault="002C285C" w:rsidP="002C285C">
            <w:pPr>
              <w:pStyle w:val="a7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51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646E4D" w:rsidRDefault="00646E4D" w:rsidP="00100458">
      <w:pPr>
        <w:ind w:firstLine="708"/>
        <w:jc w:val="both"/>
        <w:rPr>
          <w:sz w:val="28"/>
          <w:szCs w:val="28"/>
        </w:rPr>
      </w:pPr>
    </w:p>
    <w:p w:rsidR="00646E4D" w:rsidRPr="009D7BD6" w:rsidRDefault="00646E4D" w:rsidP="00100458">
      <w:pPr>
        <w:ind w:firstLine="708"/>
        <w:jc w:val="both"/>
        <w:rPr>
          <w:sz w:val="28"/>
          <w:szCs w:val="28"/>
        </w:rPr>
      </w:pPr>
    </w:p>
    <w:sectPr w:rsidR="00646E4D" w:rsidRPr="009D7BD6" w:rsidSect="00593FAA">
      <w:footerReference w:type="default" r:id="rId12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BB" w:rsidRDefault="009419BB" w:rsidP="00BC51ED">
      <w:r>
        <w:separator/>
      </w:r>
    </w:p>
  </w:endnote>
  <w:endnote w:type="continuationSeparator" w:id="0">
    <w:p w:rsidR="009419BB" w:rsidRDefault="009419BB" w:rsidP="00BC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ED" w:rsidRDefault="00BC51E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E21E6">
      <w:rPr>
        <w:noProof/>
      </w:rPr>
      <w:t>1</w:t>
    </w:r>
    <w:r>
      <w:fldChar w:fldCharType="end"/>
    </w:r>
  </w:p>
  <w:p w:rsidR="00BC51ED" w:rsidRDefault="00BC51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BB" w:rsidRDefault="009419BB" w:rsidP="00BC51ED">
      <w:r>
        <w:separator/>
      </w:r>
    </w:p>
  </w:footnote>
  <w:footnote w:type="continuationSeparator" w:id="0">
    <w:p w:rsidR="009419BB" w:rsidRDefault="009419BB" w:rsidP="00BC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18B63385"/>
    <w:multiLevelType w:val="hybridMultilevel"/>
    <w:tmpl w:val="06F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3BFA"/>
    <w:multiLevelType w:val="hybridMultilevel"/>
    <w:tmpl w:val="24FA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AD3372"/>
    <w:multiLevelType w:val="hybridMultilevel"/>
    <w:tmpl w:val="0BEE0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B9"/>
    <w:rsid w:val="00003124"/>
    <w:rsid w:val="00005C8D"/>
    <w:rsid w:val="00036A00"/>
    <w:rsid w:val="000433CF"/>
    <w:rsid w:val="00043B21"/>
    <w:rsid w:val="000648B2"/>
    <w:rsid w:val="00080BC2"/>
    <w:rsid w:val="00086BED"/>
    <w:rsid w:val="000902A5"/>
    <w:rsid w:val="000B6E91"/>
    <w:rsid w:val="000C62A6"/>
    <w:rsid w:val="000C6C7E"/>
    <w:rsid w:val="000D3A5B"/>
    <w:rsid w:val="000E1459"/>
    <w:rsid w:val="000F1285"/>
    <w:rsid w:val="000F4656"/>
    <w:rsid w:val="00100458"/>
    <w:rsid w:val="0011575F"/>
    <w:rsid w:val="001225A5"/>
    <w:rsid w:val="00123788"/>
    <w:rsid w:val="0014423F"/>
    <w:rsid w:val="00146477"/>
    <w:rsid w:val="001546E1"/>
    <w:rsid w:val="0017587E"/>
    <w:rsid w:val="001972B8"/>
    <w:rsid w:val="001B28BD"/>
    <w:rsid w:val="001B5560"/>
    <w:rsid w:val="001C5B12"/>
    <w:rsid w:val="001C7EFD"/>
    <w:rsid w:val="001D15E8"/>
    <w:rsid w:val="001D39C2"/>
    <w:rsid w:val="001E588B"/>
    <w:rsid w:val="002078B1"/>
    <w:rsid w:val="00231664"/>
    <w:rsid w:val="00233458"/>
    <w:rsid w:val="00233B95"/>
    <w:rsid w:val="00235348"/>
    <w:rsid w:val="00241202"/>
    <w:rsid w:val="0024359A"/>
    <w:rsid w:val="0024561A"/>
    <w:rsid w:val="0025210F"/>
    <w:rsid w:val="00264968"/>
    <w:rsid w:val="002737C2"/>
    <w:rsid w:val="002A2442"/>
    <w:rsid w:val="002C1D4B"/>
    <w:rsid w:val="002C285C"/>
    <w:rsid w:val="002D2139"/>
    <w:rsid w:val="002F0BC0"/>
    <w:rsid w:val="002F27DE"/>
    <w:rsid w:val="002F3C6F"/>
    <w:rsid w:val="002F65B2"/>
    <w:rsid w:val="003235EE"/>
    <w:rsid w:val="00327E79"/>
    <w:rsid w:val="0033043B"/>
    <w:rsid w:val="00364744"/>
    <w:rsid w:val="00370C0D"/>
    <w:rsid w:val="003811FC"/>
    <w:rsid w:val="0038339B"/>
    <w:rsid w:val="00391EA8"/>
    <w:rsid w:val="003946F5"/>
    <w:rsid w:val="003A7EEF"/>
    <w:rsid w:val="003B5555"/>
    <w:rsid w:val="003D7E00"/>
    <w:rsid w:val="003F1FC9"/>
    <w:rsid w:val="003F6437"/>
    <w:rsid w:val="00400EB3"/>
    <w:rsid w:val="00403A46"/>
    <w:rsid w:val="00417C38"/>
    <w:rsid w:val="00424B7A"/>
    <w:rsid w:val="0044325A"/>
    <w:rsid w:val="00454BA5"/>
    <w:rsid w:val="0047077D"/>
    <w:rsid w:val="004847A7"/>
    <w:rsid w:val="00484BC7"/>
    <w:rsid w:val="00492272"/>
    <w:rsid w:val="00492C01"/>
    <w:rsid w:val="004B531F"/>
    <w:rsid w:val="004B7D60"/>
    <w:rsid w:val="004D5857"/>
    <w:rsid w:val="004E517A"/>
    <w:rsid w:val="004E58BA"/>
    <w:rsid w:val="004F6118"/>
    <w:rsid w:val="004F717C"/>
    <w:rsid w:val="00511527"/>
    <w:rsid w:val="0051598F"/>
    <w:rsid w:val="00525789"/>
    <w:rsid w:val="0055639D"/>
    <w:rsid w:val="00563DAE"/>
    <w:rsid w:val="00570C11"/>
    <w:rsid w:val="005753A2"/>
    <w:rsid w:val="00586B9B"/>
    <w:rsid w:val="00593FAA"/>
    <w:rsid w:val="00597BDE"/>
    <w:rsid w:val="005A7AB2"/>
    <w:rsid w:val="005D4B6C"/>
    <w:rsid w:val="005F0B3E"/>
    <w:rsid w:val="005F1607"/>
    <w:rsid w:val="0060496A"/>
    <w:rsid w:val="0062110B"/>
    <w:rsid w:val="006224D8"/>
    <w:rsid w:val="00622B13"/>
    <w:rsid w:val="00634981"/>
    <w:rsid w:val="00641CA6"/>
    <w:rsid w:val="00646E4D"/>
    <w:rsid w:val="00655E3C"/>
    <w:rsid w:val="00664C26"/>
    <w:rsid w:val="006651C8"/>
    <w:rsid w:val="00670D69"/>
    <w:rsid w:val="0067300E"/>
    <w:rsid w:val="00676762"/>
    <w:rsid w:val="006771AC"/>
    <w:rsid w:val="00685A34"/>
    <w:rsid w:val="006A2D78"/>
    <w:rsid w:val="006B5A79"/>
    <w:rsid w:val="006C2E74"/>
    <w:rsid w:val="006C3EF4"/>
    <w:rsid w:val="006E7FC5"/>
    <w:rsid w:val="006F0AA0"/>
    <w:rsid w:val="0070548E"/>
    <w:rsid w:val="007112E8"/>
    <w:rsid w:val="00712542"/>
    <w:rsid w:val="00722BA4"/>
    <w:rsid w:val="00735B49"/>
    <w:rsid w:val="00745616"/>
    <w:rsid w:val="007539D2"/>
    <w:rsid w:val="00760617"/>
    <w:rsid w:val="00773C4D"/>
    <w:rsid w:val="00781C36"/>
    <w:rsid w:val="007834C5"/>
    <w:rsid w:val="00783E30"/>
    <w:rsid w:val="00792179"/>
    <w:rsid w:val="007934F2"/>
    <w:rsid w:val="007A1F79"/>
    <w:rsid w:val="007B33D0"/>
    <w:rsid w:val="007B5BE9"/>
    <w:rsid w:val="007C2E16"/>
    <w:rsid w:val="007D20AE"/>
    <w:rsid w:val="007E3BB9"/>
    <w:rsid w:val="007F1179"/>
    <w:rsid w:val="007F22CC"/>
    <w:rsid w:val="007F2B90"/>
    <w:rsid w:val="007F2E94"/>
    <w:rsid w:val="007F3303"/>
    <w:rsid w:val="008014EB"/>
    <w:rsid w:val="00815F8A"/>
    <w:rsid w:val="00823594"/>
    <w:rsid w:val="0082405F"/>
    <w:rsid w:val="00825645"/>
    <w:rsid w:val="0087457D"/>
    <w:rsid w:val="008A7A90"/>
    <w:rsid w:val="008D02E8"/>
    <w:rsid w:val="008D1ACC"/>
    <w:rsid w:val="008D3E0B"/>
    <w:rsid w:val="008F7A06"/>
    <w:rsid w:val="0090602A"/>
    <w:rsid w:val="00910339"/>
    <w:rsid w:val="0092002A"/>
    <w:rsid w:val="00924688"/>
    <w:rsid w:val="009419BB"/>
    <w:rsid w:val="0094207F"/>
    <w:rsid w:val="00946FA3"/>
    <w:rsid w:val="0095322A"/>
    <w:rsid w:val="00957045"/>
    <w:rsid w:val="00957722"/>
    <w:rsid w:val="00971F2D"/>
    <w:rsid w:val="009749B0"/>
    <w:rsid w:val="0097736C"/>
    <w:rsid w:val="009A004C"/>
    <w:rsid w:val="009B070A"/>
    <w:rsid w:val="009C7ECE"/>
    <w:rsid w:val="009D7BD6"/>
    <w:rsid w:val="009E2270"/>
    <w:rsid w:val="009F48F5"/>
    <w:rsid w:val="009F777C"/>
    <w:rsid w:val="00A07090"/>
    <w:rsid w:val="00A136AA"/>
    <w:rsid w:val="00A22D8D"/>
    <w:rsid w:val="00A46273"/>
    <w:rsid w:val="00A6088A"/>
    <w:rsid w:val="00A86F17"/>
    <w:rsid w:val="00AB585D"/>
    <w:rsid w:val="00AB7ED6"/>
    <w:rsid w:val="00AD0D8A"/>
    <w:rsid w:val="00AE21E6"/>
    <w:rsid w:val="00AE267A"/>
    <w:rsid w:val="00AF07E5"/>
    <w:rsid w:val="00AF33B8"/>
    <w:rsid w:val="00AF7BF4"/>
    <w:rsid w:val="00B058C2"/>
    <w:rsid w:val="00B14ACC"/>
    <w:rsid w:val="00B32668"/>
    <w:rsid w:val="00B32DC9"/>
    <w:rsid w:val="00B37651"/>
    <w:rsid w:val="00B727B6"/>
    <w:rsid w:val="00B907D3"/>
    <w:rsid w:val="00B92FA4"/>
    <w:rsid w:val="00B95E66"/>
    <w:rsid w:val="00BB0987"/>
    <w:rsid w:val="00BC1317"/>
    <w:rsid w:val="00BC4097"/>
    <w:rsid w:val="00BC51ED"/>
    <w:rsid w:val="00BF0B1D"/>
    <w:rsid w:val="00BF61D4"/>
    <w:rsid w:val="00C17103"/>
    <w:rsid w:val="00C22B92"/>
    <w:rsid w:val="00C53B24"/>
    <w:rsid w:val="00C60966"/>
    <w:rsid w:val="00C67683"/>
    <w:rsid w:val="00C7340A"/>
    <w:rsid w:val="00C7551B"/>
    <w:rsid w:val="00C9388B"/>
    <w:rsid w:val="00CA55A1"/>
    <w:rsid w:val="00CD57D8"/>
    <w:rsid w:val="00CF0ED8"/>
    <w:rsid w:val="00D12739"/>
    <w:rsid w:val="00D179A5"/>
    <w:rsid w:val="00D349D2"/>
    <w:rsid w:val="00D3676A"/>
    <w:rsid w:val="00D44967"/>
    <w:rsid w:val="00D528C2"/>
    <w:rsid w:val="00D539C5"/>
    <w:rsid w:val="00D612C8"/>
    <w:rsid w:val="00D70C98"/>
    <w:rsid w:val="00D768E0"/>
    <w:rsid w:val="00D77191"/>
    <w:rsid w:val="00D776BC"/>
    <w:rsid w:val="00D86661"/>
    <w:rsid w:val="00D86E67"/>
    <w:rsid w:val="00D9146C"/>
    <w:rsid w:val="00DA3F0D"/>
    <w:rsid w:val="00DB0A46"/>
    <w:rsid w:val="00DC070D"/>
    <w:rsid w:val="00DC52C3"/>
    <w:rsid w:val="00DC7EAD"/>
    <w:rsid w:val="00DD5DA8"/>
    <w:rsid w:val="00DE3CE5"/>
    <w:rsid w:val="00E06141"/>
    <w:rsid w:val="00E13789"/>
    <w:rsid w:val="00E165D9"/>
    <w:rsid w:val="00E16CA6"/>
    <w:rsid w:val="00E318D2"/>
    <w:rsid w:val="00E35BE2"/>
    <w:rsid w:val="00E515A6"/>
    <w:rsid w:val="00E61280"/>
    <w:rsid w:val="00E805E6"/>
    <w:rsid w:val="00E81404"/>
    <w:rsid w:val="00EA097F"/>
    <w:rsid w:val="00EB5568"/>
    <w:rsid w:val="00EC3821"/>
    <w:rsid w:val="00EC6172"/>
    <w:rsid w:val="00ED49E8"/>
    <w:rsid w:val="00EE2AF0"/>
    <w:rsid w:val="00F02AC4"/>
    <w:rsid w:val="00F058D0"/>
    <w:rsid w:val="00F274D0"/>
    <w:rsid w:val="00F3190A"/>
    <w:rsid w:val="00F7435C"/>
    <w:rsid w:val="00F75D0A"/>
    <w:rsid w:val="00F76A55"/>
    <w:rsid w:val="00F956E6"/>
    <w:rsid w:val="00FB7FCD"/>
    <w:rsid w:val="00FE251B"/>
    <w:rsid w:val="00FE67A1"/>
    <w:rsid w:val="00FE67E9"/>
    <w:rsid w:val="00FE7DE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0E2813-D9F4-4DF2-813C-D24E553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3BB9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E805E6"/>
    <w:pPr>
      <w:widowControl w:val="0"/>
      <w:suppressLineNumbers/>
      <w:suppressAutoHyphens/>
    </w:pPr>
    <w:rPr>
      <w:rFonts w:ascii="Times" w:eastAsia="文鼎PL细上海宋Uni" w:hAnsi="Times"/>
      <w:kern w:val="2"/>
      <w:lang w:val="en-US"/>
    </w:rPr>
  </w:style>
  <w:style w:type="paragraph" w:styleId="a5">
    <w:name w:val="List Paragraph"/>
    <w:basedOn w:val="a"/>
    <w:uiPriority w:val="34"/>
    <w:qFormat/>
    <w:rsid w:val="0095322A"/>
    <w:pPr>
      <w:ind w:left="708"/>
    </w:pPr>
  </w:style>
  <w:style w:type="table" w:styleId="a6">
    <w:name w:val="Table Grid"/>
    <w:basedOn w:val="a1"/>
    <w:uiPriority w:val="59"/>
    <w:rsid w:val="00AB7ED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AB7ED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AB7ED6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46E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BC5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C51ED"/>
    <w:rPr>
      <w:sz w:val="24"/>
      <w:szCs w:val="24"/>
    </w:rPr>
  </w:style>
  <w:style w:type="paragraph" w:styleId="ab">
    <w:name w:val="footer"/>
    <w:basedOn w:val="a"/>
    <w:link w:val="ac"/>
    <w:uiPriority w:val="99"/>
    <w:rsid w:val="00BC5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5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9A06-BC9D-42C5-9F14-0E7FAAD9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НАРОДНОГО ОБРАЗОВАНИЯ</vt:lpstr>
    </vt:vector>
  </TitlesOfParts>
  <Company>ONO</Company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НАРОДНОГО ОБРАЗОВАНИЯ</dc:title>
  <dc:subject/>
  <dc:creator>Kazmina</dc:creator>
  <cp:keywords/>
  <dc:description/>
  <cp:lastModifiedBy>adm</cp:lastModifiedBy>
  <cp:revision>2</cp:revision>
  <cp:lastPrinted>2021-08-09T16:04:00Z</cp:lastPrinted>
  <dcterms:created xsi:type="dcterms:W3CDTF">2021-08-10T06:46:00Z</dcterms:created>
  <dcterms:modified xsi:type="dcterms:W3CDTF">2021-08-10T06:46:00Z</dcterms:modified>
</cp:coreProperties>
</file>